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2794" w:type="dxa"/>
        <w:tblInd w:w="-11" w:type="dxa"/>
        <w:tblLayout w:type="autofit"/>
        <w:tblCellMar>
          <w:top w:w="0" w:type="dxa"/>
          <w:left w:w="0" w:type="dxa"/>
          <w:bottom w:w="0" w:type="dxa"/>
          <w:right w:w="0" w:type="dxa"/>
        </w:tblCellMar>
      </w:tblPr>
      <w:tblGrid>
        <w:gridCol w:w="674"/>
        <w:gridCol w:w="808"/>
        <w:gridCol w:w="1228"/>
        <w:gridCol w:w="3085"/>
        <w:gridCol w:w="3085"/>
        <w:gridCol w:w="3914"/>
      </w:tblGrid>
      <w:tr w14:paraId="30B89AD4">
        <w:tblPrEx>
          <w:tblCellMar>
            <w:top w:w="0" w:type="dxa"/>
            <w:left w:w="0" w:type="dxa"/>
            <w:bottom w:w="0" w:type="dxa"/>
            <w:right w:w="0" w:type="dxa"/>
          </w:tblCellMar>
        </w:tblPrEx>
        <w:trPr>
          <w:trHeight w:val="585" w:hRule="atLeast"/>
        </w:trPr>
        <w:tc>
          <w:tcPr>
            <w:tcW w:w="127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31A88">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省域老年康复护理协同云平台建设项目研发功能需求</w:t>
            </w:r>
          </w:p>
        </w:tc>
      </w:tr>
      <w:tr w14:paraId="086DFE12">
        <w:tblPrEx>
          <w:tblCellMar>
            <w:top w:w="0" w:type="dxa"/>
            <w:left w:w="0" w:type="dxa"/>
            <w:bottom w:w="0" w:type="dxa"/>
            <w:right w:w="0" w:type="dxa"/>
          </w:tblCellMar>
        </w:tblPrEx>
        <w:trPr>
          <w:trHeight w:val="90" w:hRule="atLeast"/>
        </w:trPr>
        <w:tc>
          <w:tcPr>
            <w:tcW w:w="127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5070E24">
            <w:pPr>
              <w:widowControl/>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系统涵盖联盟体系管理系统、会诊信息管理系统、双向转诊系统、项目数据协同系统、护理知识库及AI助手（老年与康复）、在线课堂学习系统、后台管理与权限控制共7个子系统与联盟新媒体运营服务。</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总体管理需求：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1.核心目标：</w:t>
            </w:r>
          </w:p>
          <w:p w14:paraId="0868FFE2">
            <w:pPr>
              <w:widowControl/>
              <w:numPr>
                <w:ilvl w:val="0"/>
                <w:numId w:val="1"/>
              </w:numPr>
              <w:jc w:val="left"/>
              <w:textAlignment w:val="top"/>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协同网络一体化：建设护理联盟中心平台，实现成员单位间会诊协同、双向转诊、数据共享、远程协作、学术交流、培训管理及知识服务的一体化。</w:t>
            </w:r>
          </w:p>
          <w:p w14:paraId="09DAC55D">
            <w:pPr>
              <w:widowControl/>
              <w:numPr>
                <w:ilvl w:val="0"/>
                <w:numId w:val="1"/>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资源下沉智能化：将线下帮扶流程线上化、标准化、智能化，提高专家资源利用效率。</w:t>
            </w:r>
          </w:p>
          <w:p w14:paraId="748DCEAA">
            <w:pPr>
              <w:widowControl/>
              <w:numPr>
                <w:ilvl w:val="0"/>
                <w:numId w:val="1"/>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专科服务同质化：通过远程指导、技术推广、标准输出，提升基层专科护理服务能力与质量。</w:t>
            </w:r>
          </w:p>
          <w:p w14:paraId="2EAE3332">
            <w:pPr>
              <w:widowControl/>
              <w:numPr>
                <w:ilvl w:val="0"/>
                <w:numId w:val="1"/>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管理决策数据化：全景展现联盟运行、资源流动、能力提升效果，为管理决策提供数据支撑。</w:t>
            </w:r>
          </w:p>
          <w:p w14:paraId="1CBEF599">
            <w:pPr>
              <w:widowControl/>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2.架构与部署：采用B/S为主的架构（或混合架构），所有子系统集成于统一平台，便于维护与升级。全面兼容主流浏览器。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（1）系统技术架构要求</w:t>
            </w:r>
          </w:p>
          <w:p w14:paraId="66A0258E">
            <w:pPr>
              <w:widowControl/>
              <w:numPr>
                <w:ilvl w:val="0"/>
                <w:numId w:val="2"/>
              </w:numPr>
              <w:ind w:firstLineChars="200"/>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采用 B/S 架构，基于微信服务号生态开发，用户无需安装客户端，通过微信即可访问。</w:t>
            </w:r>
          </w:p>
          <w:p w14:paraId="31E6E1B0">
            <w:pPr>
              <w:widowControl/>
              <w:numPr>
                <w:ilvl w:val="0"/>
                <w:numId w:val="2"/>
              </w:numPr>
              <w:ind w:firstLineChars="200"/>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提供 PC端Web管理后台，支持双端协同。</w:t>
            </w:r>
          </w:p>
          <w:p w14:paraId="2DA31D6F">
            <w:pPr>
              <w:widowControl/>
              <w:numPr>
                <w:ilvl w:val="0"/>
                <w:numId w:val="2"/>
              </w:numPr>
              <w:ind w:firstLineChars="200"/>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支持 多终端访问：联盟医护人员可通过 PC 端、移动手机端、平板端（微信服务号、小程序等）随时访问。</w:t>
            </w:r>
          </w:p>
          <w:p w14:paraId="5E9A0A03">
            <w:pPr>
              <w:widowControl/>
              <w:numPr>
                <w:ilvl w:val="0"/>
                <w:numId w:val="2"/>
              </w:numPr>
              <w:ind w:firstLineChars="200"/>
              <w:jc w:val="left"/>
              <w:textAlignment w:val="top"/>
              <w:rPr>
                <w:rStyle w:val="12"/>
                <w:rFonts w:hint="default"/>
                <w:color w:val="auto"/>
              </w:rPr>
            </w:pPr>
            <w:r>
              <w:rPr>
                <w:rFonts w:hint="eastAsia" w:ascii="宋体" w:hAnsi="宋体" w:eastAsia="宋体" w:cs="宋体"/>
                <w:color w:val="auto"/>
                <w:kern w:val="0"/>
                <w:sz w:val="20"/>
                <w:szCs w:val="20"/>
              </w:rPr>
              <w:t>所有子系统（联盟管理、会诊、数据协同、知识库、在线课堂等）集成于统一平台。</w:t>
            </w:r>
          </w:p>
          <w:p w14:paraId="38A71EE5">
            <w:pPr>
              <w:widowControl/>
              <w:numPr>
                <w:ilvl w:val="0"/>
                <w:numId w:val="3"/>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部署方式</w:t>
            </w:r>
          </w:p>
          <w:p w14:paraId="361000DF">
            <w:pPr>
              <w:widowControl/>
              <w:numPr>
                <w:ilvl w:val="0"/>
                <w:numId w:val="4"/>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灵活部署：除在线课堂系统外，支持本地化部署（医院指定内部机房），具体方式由医院根据资源情况决定。</w:t>
            </w:r>
          </w:p>
          <w:p w14:paraId="18EBD78F">
            <w:pPr>
              <w:widowControl/>
              <w:numPr>
                <w:ilvl w:val="0"/>
                <w:numId w:val="4"/>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在线课程系统（含直播、课程、支付等），采用云端 SaaS 部署，但其数据（学员信息、学习记录等）须与主平台进行同步集成。</w:t>
            </w:r>
          </w:p>
          <w:p w14:paraId="5F0371C2">
            <w:pPr>
              <w:widowControl/>
              <w:numPr>
                <w:ilvl w:val="0"/>
                <w:numId w:val="4"/>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数据安全：无论何种部署方式，遵循“数据不出院”原则（针对院内数据），患者敏感信息（姓名、住院号等）脱敏，同时内部需进行加密存储。</w:t>
            </w:r>
          </w:p>
          <w:p w14:paraId="110332F4">
            <w:pPr>
              <w:widowControl/>
              <w:numPr>
                <w:ilvl w:val="0"/>
                <w:numId w:val="3"/>
              </w:numPr>
              <w:jc w:val="left"/>
              <w:textAlignment w:val="top"/>
              <w:rPr>
                <w:rFonts w:ascii="宋体" w:hAnsi="宋体" w:eastAsia="宋体" w:cs="宋体"/>
                <w:color w:val="auto"/>
                <w:kern w:val="0"/>
                <w:sz w:val="20"/>
                <w:szCs w:val="20"/>
              </w:rPr>
            </w:pPr>
            <w:r>
              <w:rPr>
                <w:rFonts w:hint="eastAsia" w:ascii="宋体" w:hAnsi="宋体" w:eastAsia="宋体" w:cs="宋体"/>
                <w:color w:val="auto"/>
                <w:kern w:val="0"/>
                <w:sz w:val="20"/>
                <w:szCs w:val="20"/>
              </w:rPr>
              <w:t>外部平台对接要求</w:t>
            </w:r>
          </w:p>
          <w:p w14:paraId="3897CC59">
            <w:pPr>
              <w:widowControl/>
              <w:numPr>
                <w:ilvl w:val="0"/>
                <w:numId w:val="5"/>
              </w:numPr>
              <w:ind w:firstLineChars="200"/>
              <w:jc w:val="left"/>
              <w:textAlignment w:val="top"/>
              <w:rPr>
                <w:rFonts w:ascii="宋体" w:hAnsi="宋体" w:cs="宋体"/>
                <w:color w:val="auto"/>
                <w:szCs w:val="21"/>
              </w:rPr>
            </w:pPr>
            <w:r>
              <w:rPr>
                <w:rFonts w:hint="eastAsia" w:ascii="宋体" w:hAnsi="宋体" w:eastAsia="宋体" w:cs="宋体"/>
                <w:color w:val="auto"/>
                <w:kern w:val="0"/>
                <w:sz w:val="20"/>
                <w:szCs w:val="20"/>
              </w:rPr>
              <w:t>系统提供标准数据 API 接口，用于联盟成员单位的数据上报（质控数据等），并提供完整接口文档。</w:t>
            </w:r>
          </w:p>
          <w:p w14:paraId="3D1BE6BA">
            <w:pPr>
              <w:widowControl/>
              <w:numPr>
                <w:ilvl w:val="0"/>
                <w:numId w:val="5"/>
              </w:numPr>
              <w:ind w:firstLineChars="200"/>
              <w:jc w:val="left"/>
              <w:textAlignment w:val="top"/>
              <w:rPr>
                <w:rFonts w:ascii="宋体" w:hAnsi="宋体" w:cs="宋体"/>
                <w:color w:val="auto"/>
                <w:szCs w:val="21"/>
              </w:rPr>
            </w:pPr>
            <w:r>
              <w:rPr>
                <w:rFonts w:hint="eastAsia" w:ascii="宋体" w:hAnsi="宋体" w:eastAsia="宋体" w:cs="宋体"/>
                <w:color w:val="auto"/>
                <w:kern w:val="0"/>
                <w:sz w:val="20"/>
                <w:szCs w:val="20"/>
              </w:rPr>
              <w:t>会诊数据不与成员单位电子病历系统直接对接，通过 API 上报和手动录入方式采集数据。</w:t>
            </w:r>
          </w:p>
        </w:tc>
      </w:tr>
      <w:tr w14:paraId="7F366EE0">
        <w:tblPrEx>
          <w:tblCellMar>
            <w:top w:w="0" w:type="dxa"/>
            <w:left w:w="0" w:type="dxa"/>
            <w:bottom w:w="0" w:type="dxa"/>
            <w:right w:w="0" w:type="dxa"/>
          </w:tblCellMar>
        </w:tblPrEx>
        <w:trPr>
          <w:trHeight w:val="69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C3131">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序号</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129D7">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子系统名称</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9A118">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功能模块</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DB8D">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功能需求</w:t>
            </w:r>
          </w:p>
        </w:tc>
      </w:tr>
      <w:tr w14:paraId="009AB3C6">
        <w:tblPrEx>
          <w:tblCellMar>
            <w:top w:w="0" w:type="dxa"/>
            <w:left w:w="0" w:type="dxa"/>
            <w:bottom w:w="0" w:type="dxa"/>
            <w:right w:w="0" w:type="dxa"/>
          </w:tblCellMar>
        </w:tblPrEx>
        <w:trPr>
          <w:trHeight w:val="985" w:hRule="atLeast"/>
        </w:trPr>
        <w:tc>
          <w:tcPr>
            <w:tcW w:w="6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F2901F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8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37F1A2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联盟体系管理系统</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A2D0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联盟门户与信息展示</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4673C">
            <w:pPr>
              <w:widowControl/>
              <w:numPr>
                <w:ilvl w:val="0"/>
                <w:numId w:val="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联盟简介：图文展示联盟背景、宗旨、组织架构，提供联盟中心联系方式、地址，展示官方公众号/小程序入口二维码。</w:t>
            </w:r>
          </w:p>
          <w:p w14:paraId="4CB58AD5">
            <w:pPr>
              <w:widowControl/>
              <w:numPr>
                <w:ilvl w:val="0"/>
                <w:numId w:val="6"/>
              </w:numPr>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学术动态与资讯：首页滚动发布联盟新闻、政策公告、学术会议等通知。</w:t>
            </w:r>
          </w:p>
        </w:tc>
      </w:tr>
      <w:tr w14:paraId="0377848E">
        <w:tblPrEx>
          <w:tblCellMar>
            <w:top w:w="0" w:type="dxa"/>
            <w:left w:w="0" w:type="dxa"/>
            <w:bottom w:w="0" w:type="dxa"/>
            <w:right w:w="0" w:type="dxa"/>
          </w:tblCellMar>
        </w:tblPrEx>
        <w:trPr>
          <w:trHeight w:val="86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026674D7">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18119C28">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EEC07">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加入联盟申请</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8C6A8">
            <w:pPr>
              <w:widowControl/>
              <w:numPr>
                <w:ilvl w:val="0"/>
                <w:numId w:val="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账号注册：成员单位管理员注册个人账号，绑定机构信息。</w:t>
            </w:r>
          </w:p>
          <w:p w14:paraId="1AC5D4D0">
            <w:pPr>
              <w:widowControl/>
              <w:numPr>
                <w:ilvl w:val="0"/>
                <w:numId w:val="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提交申请：在线填写《老年/康复专科联盟成员单位申请表》，支持文件上传。主导单位后台审核 → 审核通过 → 在线生成电子协作任务书 → 双方电子签约 → 寄送纸质协议书。</w:t>
            </w:r>
          </w:p>
        </w:tc>
      </w:tr>
      <w:tr w14:paraId="4FF1C805">
        <w:tblPrEx>
          <w:tblCellMar>
            <w:top w:w="0" w:type="dxa"/>
            <w:left w:w="0" w:type="dxa"/>
            <w:bottom w:w="0" w:type="dxa"/>
            <w:right w:w="0" w:type="dxa"/>
          </w:tblCellMar>
        </w:tblPrEx>
        <w:trPr>
          <w:trHeight w:val="244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6A9A7348">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1FD343CB">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68F97">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成员档案库</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956C8">
            <w:pPr>
              <w:widowControl/>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档案内容：</w:t>
            </w:r>
          </w:p>
          <w:p w14:paraId="5EBFB8A8">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基本信息：单位名称、等级、类型、地址、联系人、联系方式、加入的专科科室名称。</w:t>
            </w:r>
          </w:p>
          <w:p w14:paraId="35851775">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人力资源：专科科室的床位数、护理人员总数、各层级护士数量、专科护士数量及专业方向。</w:t>
            </w:r>
          </w:p>
          <w:p w14:paraId="777B79E2">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联盟专科科室简要介绍：业务能力、设备配置、规模等。</w:t>
            </w:r>
          </w:p>
          <w:p w14:paraId="22F99010">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联盟信息：加入时间、协议状态、年度目标。</w:t>
            </w:r>
          </w:p>
          <w:p w14:paraId="34F94CF5">
            <w:pPr>
              <w:widowControl/>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管理功能：</w:t>
            </w:r>
          </w:p>
          <w:p w14:paraId="440859D9">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支持成员单位自行更新本单位信息，但变更需经过管理员审核方可生效。</w:t>
            </w:r>
          </w:p>
          <w:p w14:paraId="62AE87A4">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支持档案完整性预警（如必填字段缺失时提醒）。</w:t>
            </w:r>
          </w:p>
          <w:p w14:paraId="3A930018">
            <w:pPr>
              <w:widowControl/>
              <w:numPr>
                <w:ilvl w:val="0"/>
                <w:numId w:val="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支持上传支撑材料（PDF等格式）。</w:t>
            </w:r>
          </w:p>
        </w:tc>
      </w:tr>
      <w:tr w14:paraId="284555AA">
        <w:tblPrEx>
          <w:tblCellMar>
            <w:top w:w="0" w:type="dxa"/>
            <w:left w:w="0" w:type="dxa"/>
            <w:bottom w:w="0" w:type="dxa"/>
            <w:right w:w="0" w:type="dxa"/>
          </w:tblCellMar>
        </w:tblPrEx>
        <w:trPr>
          <w:trHeight w:val="9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264ABCEC">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5A596AFB">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875E3">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专家资源池</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51977">
            <w:pPr>
              <w:widowControl/>
              <w:numPr>
                <w:ilvl w:val="0"/>
                <w:numId w:val="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建立全区联盟护理专家库，字段包含：姓名、单位、专科领域（如伤口造口、糖尿病、静脉输液治疗、重症护理、康复护理、老年护理等）、职称、可服务时间、擅长技术、历史会诊评价。</w:t>
            </w:r>
          </w:p>
          <w:p w14:paraId="2085C4BC">
            <w:pPr>
              <w:widowControl/>
              <w:numPr>
                <w:ilvl w:val="0"/>
                <w:numId w:val="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支持标签化分类与动态更新。</w:t>
            </w:r>
          </w:p>
        </w:tc>
      </w:tr>
      <w:tr w14:paraId="5A50F254">
        <w:tblPrEx>
          <w:tblCellMar>
            <w:top w:w="0" w:type="dxa"/>
            <w:left w:w="0" w:type="dxa"/>
            <w:bottom w:w="0" w:type="dxa"/>
            <w:right w:w="0" w:type="dxa"/>
          </w:tblCellMar>
        </w:tblPrEx>
        <w:trPr>
          <w:trHeight w:val="1395"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379F9300">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767BA2F7">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A381E">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合作协议与目标管理</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9C65C">
            <w:pPr>
              <w:widowControl/>
              <w:numPr>
                <w:ilvl w:val="0"/>
                <w:numId w:val="1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线上化管理联盟协议。</w:t>
            </w:r>
          </w:p>
          <w:p w14:paraId="5B914940">
            <w:pPr>
              <w:widowControl/>
              <w:numPr>
                <w:ilvl w:val="0"/>
                <w:numId w:val="1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设定年度帮扶目标（如会诊次数、培训场次、技术推广项目），并跟踪完成情况。</w:t>
            </w:r>
          </w:p>
          <w:p w14:paraId="2B908A1F">
            <w:pPr>
              <w:widowControl/>
              <w:numPr>
                <w:ilvl w:val="0"/>
                <w:numId w:val="1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帮扶成效与协议目标自动关联，支持 SMART 原则设定与自动追踪（如“X年度组织会诊N次、培训M场，参加培训K人”）。</w:t>
            </w:r>
          </w:p>
        </w:tc>
      </w:tr>
      <w:tr w14:paraId="008C6DA9">
        <w:tblPrEx>
          <w:tblCellMar>
            <w:top w:w="0" w:type="dxa"/>
            <w:left w:w="0" w:type="dxa"/>
            <w:bottom w:w="0" w:type="dxa"/>
            <w:right w:w="0" w:type="dxa"/>
          </w:tblCellMar>
        </w:tblPrEx>
        <w:trPr>
          <w:trHeight w:val="429"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37915FA7">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26C2530F">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E3767">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参观学习申请</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DF635">
            <w:pPr>
              <w:widowControl/>
              <w:numPr>
                <w:ilvl w:val="0"/>
                <w:numId w:val="1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成员单位在线填写申请并提交相关资料，审核通过后按程序进行参观。</w:t>
            </w:r>
          </w:p>
        </w:tc>
      </w:tr>
      <w:tr w14:paraId="5976BD01">
        <w:tblPrEx>
          <w:tblCellMar>
            <w:top w:w="0" w:type="dxa"/>
            <w:left w:w="0" w:type="dxa"/>
            <w:bottom w:w="0" w:type="dxa"/>
            <w:right w:w="0" w:type="dxa"/>
          </w:tblCellMar>
        </w:tblPrEx>
        <w:trPr>
          <w:trHeight w:val="837"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6310F5AB">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41164042">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EAC50">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帮扶需求填报</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D7544">
            <w:pPr>
              <w:widowControl/>
              <w:numPr>
                <w:ilvl w:val="0"/>
                <w:numId w:val="1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支持结构化填报，字段包括：需求类型（技术帮扶/管理帮扶/人才培养）、帮扶对象、帮扶目标、期望时长、优先级、期望开始时间。</w:t>
            </w:r>
          </w:p>
          <w:p w14:paraId="398567C4">
            <w:pPr>
              <w:widowControl/>
              <w:numPr>
                <w:ilvl w:val="0"/>
                <w:numId w:val="1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用于调研成员单位基础信息及意向，挖掘需求匹配度。</w:t>
            </w:r>
          </w:p>
        </w:tc>
      </w:tr>
      <w:tr w14:paraId="658726DC">
        <w:tblPrEx>
          <w:tblCellMar>
            <w:top w:w="0" w:type="dxa"/>
            <w:left w:w="0" w:type="dxa"/>
            <w:bottom w:w="0" w:type="dxa"/>
            <w:right w:w="0" w:type="dxa"/>
          </w:tblCellMar>
        </w:tblPrEx>
        <w:trPr>
          <w:trHeight w:val="529"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2985C692">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1E188659">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5FF91">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科研招募公告</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B9BD">
            <w:pPr>
              <w:widowControl/>
              <w:numPr>
                <w:ilvl w:val="0"/>
                <w:numId w:val="1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发布临床试验受试者招募、课题合作邀请等信息。</w:t>
            </w:r>
          </w:p>
        </w:tc>
      </w:tr>
      <w:tr w14:paraId="3E456CD3">
        <w:tblPrEx>
          <w:tblCellMar>
            <w:top w:w="0" w:type="dxa"/>
            <w:left w:w="0" w:type="dxa"/>
            <w:bottom w:w="0" w:type="dxa"/>
            <w:right w:w="0" w:type="dxa"/>
          </w:tblCellMar>
        </w:tblPrEx>
        <w:trPr>
          <w:trHeight w:val="59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29AFC11E">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02919690">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335D7">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帮扶成效仪表盘</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F36C8">
            <w:pPr>
              <w:widowControl/>
              <w:numPr>
                <w:ilvl w:val="0"/>
                <w:numId w:val="1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多维度数据分析： - 资源下沉量：各专家/专科下沉时长、次数分布等。- 联盟活跃度：各成员单位发起请求频率、参与培训人次。</w:t>
            </w:r>
          </w:p>
        </w:tc>
      </w:tr>
      <w:tr w14:paraId="37ADB515">
        <w:tblPrEx>
          <w:tblCellMar>
            <w:top w:w="0" w:type="dxa"/>
            <w:left w:w="0" w:type="dxa"/>
            <w:bottom w:w="0" w:type="dxa"/>
            <w:right w:w="0" w:type="dxa"/>
          </w:tblCellMar>
        </w:tblPrEx>
        <w:trPr>
          <w:trHeight w:val="541"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1CF64277">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55CD8DDB">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48251">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联盟报告自动生成</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D8F57">
            <w:pPr>
              <w:widowControl/>
              <w:numPr>
                <w:ilvl w:val="0"/>
                <w:numId w:val="15"/>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按季度/年度自动生成联盟运行报告，包含关键指标分析、典型案例、成效总结与改进建议。</w:t>
            </w:r>
          </w:p>
          <w:p w14:paraId="1A8CE86F">
            <w:pPr>
              <w:widowControl/>
              <w:numPr>
                <w:ilvl w:val="0"/>
                <w:numId w:val="15"/>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支持导出 Word/Excel 格式。</w:t>
            </w:r>
          </w:p>
        </w:tc>
      </w:tr>
      <w:tr w14:paraId="660C9499">
        <w:tblPrEx>
          <w:tblCellMar>
            <w:top w:w="0" w:type="dxa"/>
            <w:left w:w="0" w:type="dxa"/>
            <w:bottom w:w="0" w:type="dxa"/>
            <w:right w:w="0" w:type="dxa"/>
          </w:tblCellMar>
        </w:tblPrEx>
        <w:trPr>
          <w:trHeight w:val="488"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2B23CC4C">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1BE55E82">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492D1">
            <w:pPr>
              <w:widowControl/>
              <w:jc w:val="center"/>
              <w:textAlignment w:val="center"/>
              <w:rPr>
                <w:rFonts w:ascii="宋体" w:hAnsi="宋体" w:eastAsia="宋体" w:cs="宋体"/>
                <w:color w:val="auto"/>
                <w:kern w:val="0"/>
                <w:sz w:val="20"/>
                <w:szCs w:val="20"/>
              </w:rPr>
            </w:pPr>
            <w:r>
              <w:rPr>
                <w:rFonts w:hint="eastAsia"/>
                <w:color w:val="auto"/>
                <w:sz w:val="20"/>
                <w:szCs w:val="20"/>
              </w:rPr>
              <w:t>线下帮扶计划</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23EA">
            <w:pPr>
              <w:widowControl/>
              <w:numPr>
                <w:ilvl w:val="0"/>
                <w:numId w:val="1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对线下活动进行线上化管理，包括：计划制定、人员选派、任务清单、现场记录（图文/视频）、成果报告提交与审核。</w:t>
            </w:r>
          </w:p>
        </w:tc>
      </w:tr>
      <w:tr w14:paraId="6AE1B45E">
        <w:tblPrEx>
          <w:tblCellMar>
            <w:top w:w="0" w:type="dxa"/>
            <w:left w:w="0" w:type="dxa"/>
            <w:bottom w:w="0" w:type="dxa"/>
            <w:right w:w="0" w:type="dxa"/>
          </w:tblCellMar>
        </w:tblPrEx>
        <w:trPr>
          <w:trHeight w:val="1163" w:hRule="atLeast"/>
        </w:trPr>
        <w:tc>
          <w:tcPr>
            <w:tcW w:w="6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52632CE">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7B08A34">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336D3">
            <w:pPr>
              <w:widowControl/>
              <w:jc w:val="center"/>
              <w:textAlignment w:val="center"/>
              <w:rPr>
                <w:color w:val="auto"/>
              </w:rPr>
            </w:pPr>
            <w:r>
              <w:rPr>
                <w:rFonts w:hint="eastAsia"/>
                <w:color w:val="auto"/>
                <w:sz w:val="20"/>
                <w:szCs w:val="20"/>
              </w:rPr>
              <w:t>全景数据驾驶舱（多视角）</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8EE9F">
            <w:pPr>
              <w:widowControl/>
              <w:numPr>
                <w:ilvl w:val="0"/>
                <w:numId w:val="1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联盟领导视图：关注资源覆盖、整体能力提升、联盟影响力指标。</w:t>
            </w:r>
          </w:p>
          <w:p w14:paraId="21C815EB">
            <w:pPr>
              <w:widowControl/>
              <w:numPr>
                <w:ilvl w:val="0"/>
                <w:numId w:val="1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省级医院视图：关注专家贡献度、技术输出成果、学科辐射力。</w:t>
            </w:r>
          </w:p>
          <w:p w14:paraId="7BCE8932">
            <w:pPr>
              <w:widowControl/>
              <w:numPr>
                <w:ilvl w:val="0"/>
                <w:numId w:val="1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基层医院视图：关注本院获取的帮助、护士成长、技术开展情况。</w:t>
            </w:r>
          </w:p>
        </w:tc>
      </w:tr>
      <w:tr w14:paraId="41380F40">
        <w:tblPrEx>
          <w:tblCellMar>
            <w:top w:w="0" w:type="dxa"/>
            <w:left w:w="0" w:type="dxa"/>
            <w:bottom w:w="0" w:type="dxa"/>
            <w:right w:w="0" w:type="dxa"/>
          </w:tblCellMar>
        </w:tblPrEx>
        <w:trPr>
          <w:trHeight w:val="2120" w:hRule="atLeast"/>
        </w:trPr>
        <w:tc>
          <w:tcPr>
            <w:tcW w:w="6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8CE40D">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8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BC28EDD">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会诊信息管理系统</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EC03E">
            <w:pPr>
              <w:widowControl/>
              <w:jc w:val="center"/>
              <w:textAlignment w:val="center"/>
              <w:rPr>
                <w:color w:val="auto"/>
              </w:rPr>
            </w:pPr>
            <w:r>
              <w:rPr>
                <w:rFonts w:hint="eastAsia"/>
                <w:color w:val="auto"/>
                <w:sz w:val="20"/>
                <w:szCs w:val="20"/>
              </w:rPr>
              <w:t>会诊申请</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7DBDA">
            <w:pPr>
              <w:widowControl/>
              <w:numPr>
                <w:ilvl w:val="0"/>
                <w:numId w:val="1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患者信息：姓名、性别、年龄、住院号、床号、诊断。</w:t>
            </w:r>
          </w:p>
          <w:p w14:paraId="33C8C089">
            <w:pPr>
              <w:widowControl/>
              <w:numPr>
                <w:ilvl w:val="0"/>
                <w:numId w:val="1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申请类型：结构化选择（如伤口造口、静脉治疗、糖尿病护理、康复护理等）。</w:t>
            </w:r>
          </w:p>
          <w:p w14:paraId="0F3D3A87">
            <w:pPr>
              <w:widowControl/>
              <w:numPr>
                <w:ilvl w:val="0"/>
                <w:numId w:val="1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会诊目的：结构化选项（如导管维护困难、压疮处理指导、心理护理支持等）。</w:t>
            </w:r>
          </w:p>
          <w:p w14:paraId="5F4D5D7F">
            <w:pPr>
              <w:widowControl/>
              <w:numPr>
                <w:ilvl w:val="0"/>
                <w:numId w:val="1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护理难点及期望解决的问题：文本描述。</w:t>
            </w:r>
          </w:p>
          <w:p w14:paraId="1D24A48E">
            <w:pPr>
              <w:widowControl/>
              <w:numPr>
                <w:ilvl w:val="0"/>
                <w:numId w:val="1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附件上传：支持上传病例相关材料，按结构化附件类型分类，支持 jpg, png, docx, xlsx, pdf 等格式预览。</w:t>
            </w:r>
          </w:p>
          <w:p w14:paraId="2E318FAB">
            <w:pPr>
              <w:widowControl/>
              <w:numPr>
                <w:ilvl w:val="0"/>
                <w:numId w:val="1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护理记录：支持按时间上传，以时间轴形式展示患者诊疗轨迹，点击时间节点可查看详细护理文书。</w:t>
            </w:r>
          </w:p>
        </w:tc>
      </w:tr>
      <w:tr w14:paraId="00004ECE">
        <w:tblPrEx>
          <w:tblCellMar>
            <w:top w:w="0" w:type="dxa"/>
            <w:left w:w="0" w:type="dxa"/>
            <w:bottom w:w="0" w:type="dxa"/>
            <w:right w:w="0" w:type="dxa"/>
          </w:tblCellMar>
        </w:tblPrEx>
        <w:trPr>
          <w:trHeight w:val="1162"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38C1B8AC">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4F65162E">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C7B86">
            <w:pPr>
              <w:widowControl/>
              <w:jc w:val="center"/>
              <w:textAlignment w:val="center"/>
              <w:rPr>
                <w:color w:val="auto"/>
              </w:rPr>
            </w:pPr>
            <w:r>
              <w:rPr>
                <w:rFonts w:hint="eastAsia" w:asciiTheme="minorEastAsia" w:hAnsiTheme="minorEastAsia" w:eastAsiaTheme="minorEastAsia" w:cstheme="minorEastAsia"/>
                <w:color w:val="auto"/>
                <w:sz w:val="20"/>
                <w:szCs w:val="20"/>
              </w:rPr>
              <w:t>会诊病例患者360°视图</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A8F95">
            <w:pPr>
              <w:widowControl/>
              <w:numPr>
                <w:ilvl w:val="0"/>
                <w:numId w:val="1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患者信息概览：结构化卡片展示患者信息、入院诊断、专科评估结果、异常体征、已采取措施、拟解决问题。</w:t>
            </w:r>
          </w:p>
          <w:p w14:paraId="756ED69E">
            <w:pPr>
              <w:widowControl/>
              <w:numPr>
                <w:ilvl w:val="0"/>
                <w:numId w:val="1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报告展示：按附件类型详细展示各类患者报告。</w:t>
            </w:r>
          </w:p>
          <w:p w14:paraId="07B5B202">
            <w:pPr>
              <w:widowControl/>
              <w:numPr>
                <w:ilvl w:val="0"/>
                <w:numId w:val="1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时间轴护理记录：点击节点穿透查看详细文书。</w:t>
            </w:r>
          </w:p>
        </w:tc>
      </w:tr>
      <w:tr w14:paraId="5CD43599">
        <w:tblPrEx>
          <w:tblCellMar>
            <w:top w:w="0" w:type="dxa"/>
            <w:left w:w="0" w:type="dxa"/>
            <w:bottom w:w="0" w:type="dxa"/>
            <w:right w:w="0" w:type="dxa"/>
          </w:tblCellMar>
        </w:tblPrEx>
        <w:trPr>
          <w:trHeight w:val="1245"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0FA6C3C3">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6F4E98A3">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F63A1">
            <w:pPr>
              <w:widowControl/>
              <w:jc w:val="center"/>
              <w:textAlignment w:val="center"/>
              <w:rPr>
                <w:color w:val="auto"/>
              </w:rPr>
            </w:pPr>
            <w:r>
              <w:rPr>
                <w:rFonts w:hint="eastAsia" w:asciiTheme="minorEastAsia" w:hAnsiTheme="minorEastAsia" w:eastAsiaTheme="minorEastAsia" w:cstheme="minorEastAsia"/>
                <w:color w:val="auto"/>
                <w:sz w:val="20"/>
                <w:szCs w:val="20"/>
              </w:rPr>
              <w:t>会诊调度</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AFE06">
            <w:pPr>
              <w:widowControl/>
              <w:numPr>
                <w:ilvl w:val="0"/>
                <w:numId w:val="2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智能推荐：根据申请类型自动推荐联盟内对应的专科护理小组或专家。</w:t>
            </w:r>
          </w:p>
          <w:p w14:paraId="7C6CEA97">
            <w:pPr>
              <w:widowControl/>
              <w:numPr>
                <w:ilvl w:val="0"/>
                <w:numId w:val="2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专家处理：专家在待办列表查看申请，查阅病历资料，确认受理后系统自动生成会诊任务并协调时间窗口。</w:t>
            </w:r>
          </w:p>
          <w:p w14:paraId="7E28955D">
            <w:pPr>
              <w:widowControl/>
              <w:numPr>
                <w:ilvl w:val="0"/>
                <w:numId w:val="2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任务状态流转：待处理 → 进行中 → 已完成 → 已关闭。</w:t>
            </w:r>
          </w:p>
          <w:p w14:paraId="23173538">
            <w:pPr>
              <w:widowControl/>
              <w:numPr>
                <w:ilvl w:val="0"/>
                <w:numId w:val="2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延期与取消：结构化原因选择，记录操作日志及详细说明，形成管理闭环。</w:t>
            </w:r>
          </w:p>
          <w:p w14:paraId="39884177">
            <w:pPr>
              <w:widowControl/>
              <w:numPr>
                <w:ilvl w:val="0"/>
                <w:numId w:val="2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工作量统计：支持统计会诊申请量、会诊量、会诊人员工作量等。</w:t>
            </w:r>
          </w:p>
        </w:tc>
      </w:tr>
      <w:tr w14:paraId="18CB7EA3">
        <w:tblPrEx>
          <w:tblCellMar>
            <w:top w:w="0" w:type="dxa"/>
            <w:left w:w="0" w:type="dxa"/>
            <w:bottom w:w="0" w:type="dxa"/>
            <w:right w:w="0" w:type="dxa"/>
          </w:tblCellMar>
        </w:tblPrEx>
        <w:trPr>
          <w:trHeight w:val="9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6976B2A0">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2ADAD6BE">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3A84B">
            <w:pPr>
              <w:widowControl/>
              <w:jc w:val="center"/>
              <w:textAlignment w:val="center"/>
              <w:rPr>
                <w:color w:val="auto"/>
              </w:rPr>
            </w:pPr>
            <w:r>
              <w:rPr>
                <w:rFonts w:hint="eastAsia" w:asciiTheme="minorEastAsia" w:hAnsiTheme="minorEastAsia" w:eastAsiaTheme="minorEastAsia" w:cstheme="minorEastAsia"/>
                <w:color w:val="auto"/>
                <w:sz w:val="20"/>
                <w:szCs w:val="20"/>
              </w:rPr>
              <w:t>会诊任务协同</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51237">
            <w:pPr>
              <w:widowControl/>
              <w:numPr>
                <w:ilvl w:val="0"/>
                <w:numId w:val="2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专家任务看板：分为“待处理”“进行中”“历史记录”三个维度，待处理任务高亮显示患者姓名、科室、申请类型。</w:t>
            </w:r>
          </w:p>
          <w:p w14:paraId="453458A4">
            <w:pPr>
              <w:widowControl/>
              <w:numPr>
                <w:ilvl w:val="0"/>
                <w:numId w:val="2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讨论板块：申请护士与专家可围绕病例进行异步/同步文字交流，所有沟通记录自动留痕，归档至会诊日志。</w:t>
            </w:r>
          </w:p>
          <w:p w14:paraId="1AA798F8">
            <w:pPr>
              <w:widowControl/>
              <w:numPr>
                <w:ilvl w:val="0"/>
                <w:numId w:val="2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书面意见：系统强制要求专家在规定时间内完成书面意见填写。</w:t>
            </w:r>
          </w:p>
        </w:tc>
      </w:tr>
      <w:tr w14:paraId="60D51BB8">
        <w:tblPrEx>
          <w:tblCellMar>
            <w:top w:w="0" w:type="dxa"/>
            <w:left w:w="0" w:type="dxa"/>
            <w:bottom w:w="0" w:type="dxa"/>
            <w:right w:w="0" w:type="dxa"/>
          </w:tblCellMar>
        </w:tblPrEx>
        <w:trPr>
          <w:trHeight w:val="876" w:hRule="atLeast"/>
        </w:trPr>
        <w:tc>
          <w:tcPr>
            <w:tcW w:w="67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F293E7C">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4C54997">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743370">
            <w:pPr>
              <w:widowControl/>
              <w:jc w:val="center"/>
              <w:textAlignment w:val="center"/>
              <w:rPr>
                <w:color w:val="auto"/>
              </w:rPr>
            </w:pPr>
            <w:r>
              <w:rPr>
                <w:rFonts w:hint="eastAsia" w:ascii="宋体" w:hAnsi="宋体" w:eastAsia="宋体" w:cs="宋体"/>
                <w:color w:val="auto"/>
                <w:kern w:val="0"/>
                <w:sz w:val="20"/>
                <w:szCs w:val="20"/>
              </w:rPr>
              <w:t>会诊质量评价</w:t>
            </w:r>
          </w:p>
        </w:tc>
        <w:tc>
          <w:tcPr>
            <w:tcW w:w="10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0514">
            <w:pPr>
              <w:widowControl/>
              <w:numPr>
                <w:ilvl w:val="0"/>
                <w:numId w:val="2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每次会诊后，申请方与专家方进行双向匿名评价。</w:t>
            </w:r>
          </w:p>
          <w:p w14:paraId="7AD608A4">
            <w:pPr>
              <w:widowControl/>
              <w:numPr>
                <w:ilvl w:val="0"/>
                <w:numId w:val="2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系统自动统计专家响应时间、解决问题满意度等指标。</w:t>
            </w:r>
          </w:p>
          <w:p w14:paraId="200DEFE5">
            <w:pPr>
              <w:widowControl/>
              <w:numPr>
                <w:ilvl w:val="0"/>
                <w:numId w:val="2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会诊意见执行情况：以节点形式显示会诊结果及后续处理情况（但不关联个人绩效档案）。</w:t>
            </w:r>
          </w:p>
        </w:tc>
      </w:tr>
      <w:tr w14:paraId="3571D7FD">
        <w:tblPrEx>
          <w:tblCellMar>
            <w:top w:w="0" w:type="dxa"/>
            <w:left w:w="0" w:type="dxa"/>
            <w:bottom w:w="0" w:type="dxa"/>
            <w:right w:w="0" w:type="dxa"/>
          </w:tblCellMar>
        </w:tblPrEx>
        <w:trPr>
          <w:trHeight w:val="2988" w:hRule="atLeast"/>
        </w:trPr>
        <w:tc>
          <w:tcPr>
            <w:tcW w:w="67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2B30473">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80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832310D">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双向转诊系统</w:t>
            </w:r>
          </w:p>
        </w:tc>
        <w:tc>
          <w:tcPr>
            <w:tcW w:w="122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4019CF9">
            <w:pPr>
              <w:widowControl/>
              <w:numPr>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双向转诊系统</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C4B39">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转诊申请：在线提交患者信息、病情摘要、转诊需求及附件，支持关联会诊记录和关键数据同步。</w:t>
            </w:r>
          </w:p>
          <w:p w14:paraId="28CF0D17">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转诊审核调度：转入单位审核申请，可通过、退回、拒绝或转派，并反馈接收科室、专家及预约/预住院安排。</w:t>
            </w:r>
          </w:p>
          <w:p w14:paraId="33CD01AE">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预约管理：支持门诊预约、专家预约及预住院登记，并记录变更、取消及联系人信息。</w:t>
            </w:r>
          </w:p>
          <w:p w14:paraId="089189B0">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智能提醒：在申请、审核、预约、到院、反馈等关键节点，通过站内消息、短信等方式自动提醒相关人员。</w:t>
            </w:r>
          </w:p>
          <w:p w14:paraId="2DC5B187">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信息同步与反馈：授权同步患者关键数据，支持到院确认、交接登记、接诊反馈，形成闭环。</w:t>
            </w:r>
          </w:p>
          <w:p w14:paraId="03600F24">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全流程跟踪：支持转诊全过程状态查询及操作日志留痕。</w:t>
            </w:r>
          </w:p>
          <w:p w14:paraId="44D2EAA2">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数据分析：统计转诊量、分布、通过率、到院率、响应时长和闭环时长等指标。</w:t>
            </w:r>
          </w:p>
          <w:p w14:paraId="61A69261">
            <w:pPr>
              <w:widowControl/>
              <w:numPr>
                <w:ilvl w:val="0"/>
                <w:numId w:val="23"/>
              </w:num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系统管理：支持机构、科室、专家、权限、消息模板及基础字典配置。</w:t>
            </w:r>
          </w:p>
        </w:tc>
      </w:tr>
      <w:tr w14:paraId="35A4A8D3">
        <w:tblPrEx>
          <w:tblCellMar>
            <w:top w:w="0" w:type="dxa"/>
            <w:left w:w="0" w:type="dxa"/>
            <w:bottom w:w="0" w:type="dxa"/>
            <w:right w:w="0" w:type="dxa"/>
          </w:tblCellMar>
        </w:tblPrEx>
        <w:trPr>
          <w:trHeight w:val="90" w:hRule="atLeast"/>
        </w:trPr>
        <w:tc>
          <w:tcPr>
            <w:tcW w:w="6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8FD83B">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8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8620DAD">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项目数据协同系统</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63EF9">
            <w:pPr>
              <w:widowControl/>
              <w:numPr>
                <w:ilvl w:val="0"/>
                <w:numId w:val="0"/>
              </w:numPr>
              <w:ind w:leftChars="0"/>
              <w:jc w:val="center"/>
              <w:textAlignment w:val="center"/>
              <w:rPr>
                <w:color w:val="auto"/>
              </w:rPr>
            </w:pPr>
            <w:bookmarkStart w:id="0" w:name="_GoBack"/>
            <w:r>
              <w:rPr>
                <w:rFonts w:hint="eastAsia" w:ascii="宋体" w:hAnsi="宋体" w:eastAsia="宋体" w:cs="宋体"/>
                <w:color w:val="auto"/>
                <w:kern w:val="0"/>
                <w:sz w:val="20"/>
                <w:szCs w:val="20"/>
              </w:rPr>
              <w:t>多源数据接入</w:t>
            </w:r>
            <w:bookmarkEnd w:id="0"/>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781ED">
            <w:pPr>
              <w:widowControl/>
              <w:numPr>
                <w:ilvl w:val="0"/>
                <w:numId w:val="2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支持手动录入对接各成员单位老年/康复护理评估与治疗数据（质控数据上报）。</w:t>
            </w:r>
          </w:p>
        </w:tc>
      </w:tr>
      <w:tr w14:paraId="2CCF1349">
        <w:tblPrEx>
          <w:tblCellMar>
            <w:top w:w="0" w:type="dxa"/>
            <w:left w:w="0" w:type="dxa"/>
            <w:bottom w:w="0" w:type="dxa"/>
            <w:right w:w="0" w:type="dxa"/>
          </w:tblCellMar>
        </w:tblPrEx>
        <w:trPr>
          <w:trHeight w:val="84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60B96CD8">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223E1509">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EBA68">
            <w:pPr>
              <w:widowControl/>
              <w:numPr>
                <w:ilvl w:val="0"/>
                <w:numId w:val="0"/>
              </w:numPr>
              <w:ind w:leftChars="0"/>
              <w:jc w:val="center"/>
              <w:textAlignment w:val="center"/>
              <w:rPr>
                <w:color w:val="auto"/>
              </w:rPr>
            </w:pPr>
            <w:r>
              <w:rPr>
                <w:rFonts w:hint="eastAsia" w:ascii="宋体" w:hAnsi="宋体" w:eastAsia="宋体" w:cs="宋体"/>
                <w:color w:val="auto"/>
                <w:kern w:val="0"/>
                <w:sz w:val="20"/>
                <w:szCs w:val="20"/>
              </w:rPr>
              <w:t>数据质控规则</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C35DC">
            <w:pPr>
              <w:widowControl/>
              <w:numPr>
                <w:ilvl w:val="0"/>
                <w:numId w:val="25"/>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支持自定义配置老年、康复专科质控指标（如吞咽障碍筛查率、康复相关专科护士占比、卒中后情感障碍筛查率、失禁性皮炎发生率等）。</w:t>
            </w:r>
          </w:p>
          <w:p w14:paraId="4227893E">
            <w:pPr>
              <w:widowControl/>
              <w:numPr>
                <w:ilvl w:val="0"/>
                <w:numId w:val="25"/>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每个指标支持分子/分母录入，支持不同城市/区域的数据统计与比较。</w:t>
            </w:r>
          </w:p>
          <w:p w14:paraId="47E9630E">
            <w:pPr>
              <w:widowControl/>
              <w:numPr>
                <w:ilvl w:val="0"/>
                <w:numId w:val="25"/>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自动校验数据完整性与逻辑性，异常时支持预警与通知。</w:t>
            </w:r>
          </w:p>
        </w:tc>
      </w:tr>
      <w:tr w14:paraId="6629067F">
        <w:tblPrEx>
          <w:tblCellMar>
            <w:top w:w="0" w:type="dxa"/>
            <w:left w:w="0" w:type="dxa"/>
            <w:bottom w:w="0" w:type="dxa"/>
            <w:right w:w="0" w:type="dxa"/>
          </w:tblCellMar>
        </w:tblPrEx>
        <w:trPr>
          <w:trHeight w:val="1042" w:hRule="atLeast"/>
        </w:trPr>
        <w:tc>
          <w:tcPr>
            <w:tcW w:w="6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06ABD5C">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039AE46">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14538">
            <w:pPr>
              <w:widowControl/>
              <w:numPr>
                <w:ilvl w:val="0"/>
                <w:numId w:val="0"/>
              </w:numPr>
              <w:ind w:leftChars="0"/>
              <w:jc w:val="center"/>
              <w:textAlignment w:val="center"/>
              <w:rPr>
                <w:color w:val="auto"/>
              </w:rPr>
            </w:pPr>
            <w:r>
              <w:rPr>
                <w:rFonts w:hint="eastAsia" w:ascii="宋体" w:hAnsi="宋体" w:eastAsia="宋体" w:cs="宋体"/>
                <w:color w:val="auto"/>
                <w:kern w:val="0"/>
                <w:sz w:val="20"/>
                <w:szCs w:val="20"/>
              </w:rPr>
              <w:t>可视化报表</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96A32">
            <w:pPr>
              <w:widowControl/>
              <w:numPr>
                <w:ilvl w:val="0"/>
                <w:numId w:val="2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自动生成机构/联盟的月度/季度/年度老年/康复护理质量分析报告。</w:t>
            </w:r>
          </w:p>
          <w:p w14:paraId="2E364AA4">
            <w:pPr>
              <w:widowControl/>
              <w:numPr>
                <w:ilvl w:val="0"/>
                <w:numId w:val="2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支持各类质量指标趋势分析与帮扶效果评估。</w:t>
            </w:r>
          </w:p>
          <w:p w14:paraId="13C372F1">
            <w:pPr>
              <w:widowControl/>
              <w:numPr>
                <w:ilvl w:val="0"/>
                <w:numId w:val="2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 Word/Excel 格式导出。</w:t>
            </w:r>
          </w:p>
        </w:tc>
      </w:tr>
      <w:tr w14:paraId="2A8B34DB">
        <w:tblPrEx>
          <w:tblCellMar>
            <w:top w:w="0" w:type="dxa"/>
            <w:left w:w="0" w:type="dxa"/>
            <w:bottom w:w="0" w:type="dxa"/>
            <w:right w:w="0" w:type="dxa"/>
          </w:tblCellMar>
        </w:tblPrEx>
        <w:trPr>
          <w:trHeight w:val="90" w:hRule="atLeast"/>
        </w:trPr>
        <w:tc>
          <w:tcPr>
            <w:tcW w:w="6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1D1650">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8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11F455A">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护理知识库及AI助手（老年与康复）</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2E277">
            <w:pPr>
              <w:widowControl/>
              <w:numPr>
                <w:ilvl w:val="0"/>
                <w:numId w:val="0"/>
              </w:numPr>
              <w:ind w:leftChars="0"/>
              <w:jc w:val="center"/>
              <w:textAlignment w:val="center"/>
              <w:rPr>
                <w:color w:val="auto"/>
              </w:rPr>
            </w:pPr>
            <w:r>
              <w:rPr>
                <w:rFonts w:hint="eastAsia" w:ascii="宋体" w:hAnsi="宋体" w:eastAsia="宋体" w:cs="宋体"/>
                <w:color w:val="auto"/>
                <w:kern w:val="0"/>
                <w:sz w:val="20"/>
                <w:szCs w:val="20"/>
              </w:rPr>
              <w:t>多源知识聚合</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EA18E">
            <w:pPr>
              <w:widowControl/>
              <w:numPr>
                <w:ilvl w:val="0"/>
                <w:numId w:val="2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整合最新临床指南、专家共识、联盟自制标准、经典案例、培训课件、操作视频。</w:t>
            </w:r>
          </w:p>
        </w:tc>
      </w:tr>
      <w:tr w14:paraId="5A8BDCE2">
        <w:tblPrEx>
          <w:tblCellMar>
            <w:top w:w="0" w:type="dxa"/>
            <w:left w:w="0" w:type="dxa"/>
            <w:bottom w:w="0" w:type="dxa"/>
            <w:right w:w="0" w:type="dxa"/>
          </w:tblCellMar>
        </w:tblPrEx>
        <w:trPr>
          <w:trHeight w:val="588"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167025CF">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7C1DF3A5">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76D33">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智能提取</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67982">
            <w:pPr>
              <w:widowControl/>
              <w:numPr>
                <w:ilvl w:val="0"/>
                <w:numId w:val="2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对临床指南、长篇文档，AI 自动生成摘要、提取核心推荐意见，标记证据等级和更新日期。</w:t>
            </w:r>
          </w:p>
          <w:p w14:paraId="5AFD2B46">
            <w:pPr>
              <w:widowControl/>
              <w:numPr>
                <w:ilvl w:val="0"/>
                <w:numId w:val="2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视频自动生成字幕、关键操作步骤和时间戳标签，并提取演示要点。</w:t>
            </w:r>
          </w:p>
        </w:tc>
      </w:tr>
      <w:tr w14:paraId="07E821FE">
        <w:tblPrEx>
          <w:tblCellMar>
            <w:top w:w="0" w:type="dxa"/>
            <w:left w:w="0" w:type="dxa"/>
            <w:bottom w:w="0" w:type="dxa"/>
            <w:right w:w="0" w:type="dxa"/>
          </w:tblCellMar>
        </w:tblPrEx>
        <w:trPr>
          <w:trHeight w:val="70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7B1BBAD1">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211D807C">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2AD49">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智能检索与推荐</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001FA">
            <w:pPr>
              <w:widowControl/>
              <w:numPr>
                <w:ilvl w:val="0"/>
                <w:numId w:val="2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支持自然语言检索。</w:t>
            </w:r>
          </w:p>
          <w:p w14:paraId="77B234FD">
            <w:pPr>
              <w:widowControl/>
              <w:numPr>
                <w:ilvl w:val="0"/>
                <w:numId w:val="2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根据护士的岗位、学习记录，主动推送相关知识。</w:t>
            </w:r>
          </w:p>
        </w:tc>
      </w:tr>
      <w:tr w14:paraId="3D388FF3">
        <w:tblPrEx>
          <w:tblCellMar>
            <w:top w:w="0" w:type="dxa"/>
            <w:left w:w="0" w:type="dxa"/>
            <w:bottom w:w="0" w:type="dxa"/>
            <w:right w:w="0" w:type="dxa"/>
          </w:tblCellMar>
        </w:tblPrEx>
        <w:trPr>
          <w:trHeight w:val="612"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47C700CC">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1704CA13">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2C0E0">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智能纠错与联想</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9EC48">
            <w:pPr>
              <w:widowControl/>
              <w:numPr>
                <w:ilvl w:val="0"/>
                <w:numId w:val="3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当输入“糖足敷料”时，系统自动联想并搜索“糖尿病足敷料选择”等。</w:t>
            </w:r>
          </w:p>
        </w:tc>
      </w:tr>
      <w:tr w14:paraId="6C0E3F27">
        <w:tblPrEx>
          <w:tblCellMar>
            <w:top w:w="0" w:type="dxa"/>
            <w:left w:w="0" w:type="dxa"/>
            <w:bottom w:w="0" w:type="dxa"/>
            <w:right w:w="0" w:type="dxa"/>
          </w:tblCellMar>
        </w:tblPrEx>
        <w:trPr>
          <w:trHeight w:val="545"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0C880A5B">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70058DC1">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B5B49">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AI助手</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73169">
            <w:pPr>
              <w:widowControl/>
              <w:numPr>
                <w:ilvl w:val="0"/>
                <w:numId w:val="3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构建智能问答机器人，基于知识库内容生成结构化、具有循证依据的答案，并引用来源，确保可追溯。</w:t>
            </w:r>
          </w:p>
          <w:p w14:paraId="405AC274">
            <w:pPr>
              <w:widowControl/>
              <w:numPr>
                <w:ilvl w:val="0"/>
                <w:numId w:val="3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支持文本交互和语音交互（语音交互需云端 API 支持）。</w:t>
            </w:r>
          </w:p>
          <w:p w14:paraId="47274F96">
            <w:pPr>
              <w:widowControl/>
              <w:numPr>
                <w:ilvl w:val="0"/>
                <w:numId w:val="3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AI模型部署：采用云端 API 方式，不部署在本地。</w:t>
            </w:r>
          </w:p>
        </w:tc>
      </w:tr>
      <w:tr w14:paraId="4BB50443">
        <w:tblPrEx>
          <w:tblCellMar>
            <w:top w:w="0" w:type="dxa"/>
            <w:left w:w="0" w:type="dxa"/>
            <w:bottom w:w="0" w:type="dxa"/>
            <w:right w:w="0" w:type="dxa"/>
          </w:tblCellMar>
        </w:tblPrEx>
        <w:trPr>
          <w:trHeight w:val="937" w:hRule="atLeast"/>
        </w:trPr>
        <w:tc>
          <w:tcPr>
            <w:tcW w:w="6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1BA5795">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60507F5">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767CE">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知识库管理</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B1AD7">
            <w:pPr>
              <w:widowControl/>
              <w:numPr>
                <w:ilvl w:val="0"/>
                <w:numId w:val="3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目录结构：按疾病分类、护理技术、康复指南等多维度分层。</w:t>
            </w:r>
          </w:p>
          <w:p w14:paraId="60158B27">
            <w:pPr>
              <w:widowControl/>
              <w:numPr>
                <w:ilvl w:val="0"/>
                <w:numId w:val="3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版本管理：每份文档支持版本历史记录，可追溯修改人与修改时间。</w:t>
            </w:r>
          </w:p>
          <w:p w14:paraId="685E9E46">
            <w:pPr>
              <w:widowControl/>
              <w:numPr>
                <w:ilvl w:val="0"/>
                <w:numId w:val="3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权限控制：管理员发布/编辑，其他成员仅查看。</w:t>
            </w:r>
          </w:p>
        </w:tc>
      </w:tr>
      <w:tr w14:paraId="693ED8EC">
        <w:tblPrEx>
          <w:tblCellMar>
            <w:top w:w="0" w:type="dxa"/>
            <w:left w:w="0" w:type="dxa"/>
            <w:bottom w:w="0" w:type="dxa"/>
            <w:right w:w="0" w:type="dxa"/>
          </w:tblCellMar>
        </w:tblPrEx>
        <w:trPr>
          <w:trHeight w:val="1170" w:hRule="atLeast"/>
        </w:trPr>
        <w:tc>
          <w:tcPr>
            <w:tcW w:w="6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F96D21A">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8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ABA5C8">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在线课堂学习系统服务</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EDDD6">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在线课程</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009F9">
            <w:pPr>
              <w:widowControl/>
              <w:numPr>
                <w:ilvl w:val="0"/>
                <w:numId w:val="3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支持课程创建与发布、多章节设置、学习任务设置、学习积分。</w:t>
            </w:r>
          </w:p>
          <w:p w14:paraId="66E3A89C">
            <w:pPr>
              <w:widowControl/>
              <w:numPr>
                <w:ilvl w:val="0"/>
                <w:numId w:val="3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支持上传图文、视频、音频、文档、PPT等多种格式课件资源。</w:t>
            </w:r>
          </w:p>
          <w:p w14:paraId="0CDC11D8">
            <w:pPr>
              <w:widowControl/>
              <w:numPr>
                <w:ilvl w:val="0"/>
                <w:numId w:val="3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支持考试、作业、练习、下载资料、课程评价。</w:t>
            </w:r>
          </w:p>
        </w:tc>
      </w:tr>
      <w:tr w14:paraId="4245BB86">
        <w:tblPrEx>
          <w:tblCellMar>
            <w:top w:w="0" w:type="dxa"/>
            <w:left w:w="0" w:type="dxa"/>
            <w:bottom w:w="0" w:type="dxa"/>
            <w:right w:w="0" w:type="dxa"/>
          </w:tblCellMar>
        </w:tblPrEx>
        <w:trPr>
          <w:trHeight w:val="1957"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3D88ED70">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4A7611A3">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D00D3">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直播课程</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384DF">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支持语音直播、视频直播，PC端和手机均可开播，时延低至1s，自动生成回放。</w:t>
            </w:r>
          </w:p>
          <w:p w14:paraId="02B3FADE">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支持第三方免费直播软件 OBS（通过串流地址打通）。</w:t>
            </w:r>
          </w:p>
          <w:p w14:paraId="315BC137">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学员无需安装插件即可参与直播；支持实时互动、禁言、消息撤回等。</w:t>
            </w:r>
          </w:p>
          <w:p w14:paraId="6DA20975">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直播间可设置点赞、投票、问卷、用户评论上墙。</w:t>
            </w:r>
          </w:p>
          <w:p w14:paraId="46637682">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直播过程中可实时查看流量、在线人数；支持添加讲义供预习/复习。</w:t>
            </w:r>
          </w:p>
          <w:p w14:paraId="59818625">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BI 看板实时获取学员数据，直观呈现。</w:t>
            </w:r>
          </w:p>
          <w:p w14:paraId="5C27B3AC">
            <w:pPr>
              <w:widowControl/>
              <w:numPr>
                <w:ilvl w:val="0"/>
                <w:numId w:val="34"/>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支持直播预告；结束后自动或手动上传回放。</w:t>
            </w:r>
          </w:p>
        </w:tc>
      </w:tr>
      <w:tr w14:paraId="0F3DBB58">
        <w:tblPrEx>
          <w:tblCellMar>
            <w:top w:w="0" w:type="dxa"/>
            <w:left w:w="0" w:type="dxa"/>
            <w:bottom w:w="0" w:type="dxa"/>
            <w:right w:w="0" w:type="dxa"/>
          </w:tblCellMar>
        </w:tblPrEx>
        <w:trPr>
          <w:trHeight w:val="880"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621E386E">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40DCEE4F">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49328">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课程及专家介绍</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F87B">
            <w:pPr>
              <w:widowControl/>
              <w:numPr>
                <w:ilvl w:val="0"/>
                <w:numId w:val="35"/>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支持按月/季度/年展示课程安排及预告，介绍相关课程专家。</w:t>
            </w:r>
          </w:p>
        </w:tc>
      </w:tr>
      <w:tr w14:paraId="31AC7F9F">
        <w:tblPrEx>
          <w:tblCellMar>
            <w:top w:w="0" w:type="dxa"/>
            <w:left w:w="0" w:type="dxa"/>
            <w:bottom w:w="0" w:type="dxa"/>
            <w:right w:w="0" w:type="dxa"/>
          </w:tblCellMar>
        </w:tblPrEx>
        <w:trPr>
          <w:trHeight w:val="2165"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54D7D80A">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7737B97C">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7EED1">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培训管理</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1824D">
            <w:pPr>
              <w:widowControl/>
              <w:numPr>
                <w:ilvl w:val="0"/>
                <w:numId w:val="3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支持培训课程报名、预约。</w:t>
            </w:r>
          </w:p>
          <w:p w14:paraId="270F05E0">
            <w:pPr>
              <w:widowControl/>
              <w:numPr>
                <w:ilvl w:val="0"/>
                <w:numId w:val="3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支持培训过程暂存，退出后可继续。</w:t>
            </w:r>
          </w:p>
          <w:p w14:paraId="18E2DD2D">
            <w:pPr>
              <w:widowControl/>
              <w:numPr>
                <w:ilvl w:val="0"/>
                <w:numId w:val="3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支持自由式学习方式和解锁式学习方式。</w:t>
            </w:r>
          </w:p>
          <w:p w14:paraId="574947A7">
            <w:pPr>
              <w:widowControl/>
              <w:numPr>
                <w:ilvl w:val="0"/>
                <w:numId w:val="3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观看视频时禁止播放器进度拖拽（防刷课）。</w:t>
            </w:r>
          </w:p>
          <w:p w14:paraId="43F6A704">
            <w:pPr>
              <w:widowControl/>
              <w:numPr>
                <w:ilvl w:val="0"/>
                <w:numId w:val="3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考试与课件关联，课程学习后可进行考试；通过考试自动获得证书（如设置）。</w:t>
            </w:r>
          </w:p>
          <w:p w14:paraId="437EA23C">
            <w:pPr>
              <w:widowControl/>
              <w:numPr>
                <w:ilvl w:val="0"/>
                <w:numId w:val="36"/>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支持培训、考核数据的查询、统计和导出。</w:t>
            </w:r>
          </w:p>
        </w:tc>
      </w:tr>
      <w:tr w14:paraId="041835E9">
        <w:tblPrEx>
          <w:tblCellMar>
            <w:top w:w="0" w:type="dxa"/>
            <w:left w:w="0" w:type="dxa"/>
            <w:bottom w:w="0" w:type="dxa"/>
            <w:right w:w="0" w:type="dxa"/>
          </w:tblCellMar>
        </w:tblPrEx>
        <w:trPr>
          <w:trHeight w:val="713"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3C38B16D">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3A23B51A">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E3CD6">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考试管理</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24C35">
            <w:pPr>
              <w:widowControl/>
              <w:numPr>
                <w:ilvl w:val="0"/>
                <w:numId w:val="3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试卷创建、编辑、导入、删除、更新；题库的添加、编辑、导入、删除、更新。</w:t>
            </w:r>
          </w:p>
          <w:p w14:paraId="2D5F28FB">
            <w:pPr>
              <w:widowControl/>
              <w:numPr>
                <w:ilvl w:val="0"/>
                <w:numId w:val="37"/>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考试设置（名称、时间、对象、次数限制等）。</w:t>
            </w:r>
          </w:p>
        </w:tc>
      </w:tr>
      <w:tr w14:paraId="3CFE076E">
        <w:tblPrEx>
          <w:tblCellMar>
            <w:top w:w="0" w:type="dxa"/>
            <w:left w:w="0" w:type="dxa"/>
            <w:bottom w:w="0" w:type="dxa"/>
            <w:right w:w="0" w:type="dxa"/>
          </w:tblCellMar>
        </w:tblPrEx>
        <w:trPr>
          <w:trHeight w:val="587"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44121C70">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68D40424">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7BCC4">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证书管理</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1033C">
            <w:pPr>
              <w:widowControl/>
              <w:numPr>
                <w:ilvl w:val="0"/>
                <w:numId w:val="3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证书的创建、编辑、发布、下架；支持颁发证书。</w:t>
            </w:r>
          </w:p>
          <w:p w14:paraId="61C196A5">
            <w:pPr>
              <w:widowControl/>
              <w:numPr>
                <w:ilvl w:val="0"/>
                <w:numId w:val="38"/>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培训学时自动归集到学员的个人档案。</w:t>
            </w:r>
          </w:p>
        </w:tc>
      </w:tr>
      <w:tr w14:paraId="44AD2794">
        <w:tblPrEx>
          <w:tblCellMar>
            <w:top w:w="0" w:type="dxa"/>
            <w:left w:w="0" w:type="dxa"/>
            <w:bottom w:w="0" w:type="dxa"/>
            <w:right w:w="0" w:type="dxa"/>
          </w:tblCellMar>
        </w:tblPrEx>
        <w:trPr>
          <w:trHeight w:val="1234" w:hRule="atLeast"/>
        </w:trPr>
        <w:tc>
          <w:tcPr>
            <w:tcW w:w="6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A3249A8">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252E004">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621E9">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在线支付</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1999">
            <w:pPr>
              <w:widowControl/>
              <w:numPr>
                <w:ilvl w:val="0"/>
                <w:numId w:val="39"/>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精选课程可公开至联盟门户，供非联盟成员付费或申请学习。</w:t>
            </w:r>
          </w:p>
        </w:tc>
      </w:tr>
      <w:tr w14:paraId="6DA97FDF">
        <w:tblPrEx>
          <w:tblCellMar>
            <w:top w:w="0" w:type="dxa"/>
            <w:left w:w="0" w:type="dxa"/>
            <w:bottom w:w="0" w:type="dxa"/>
            <w:right w:w="0" w:type="dxa"/>
          </w:tblCellMar>
        </w:tblPrEx>
        <w:trPr>
          <w:trHeight w:val="611" w:hRule="atLeast"/>
        </w:trPr>
        <w:tc>
          <w:tcPr>
            <w:tcW w:w="6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7213C2">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8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9A003DC">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后台管理与权限控制</w:t>
            </w:r>
          </w:p>
        </w:tc>
        <w:tc>
          <w:tcPr>
            <w:tcW w:w="122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8282F8D">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多级角色权限（基于功能级与数据级控制）</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4F3F2">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角色层级</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436D5">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具体角色</w:t>
            </w:r>
          </w:p>
        </w:tc>
        <w:tc>
          <w:tcPr>
            <w:tcW w:w="3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85224">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权限范围</w:t>
            </w:r>
          </w:p>
        </w:tc>
      </w:tr>
      <w:tr w14:paraId="1EBAD705">
        <w:tblPrEx>
          <w:tblCellMar>
            <w:top w:w="0" w:type="dxa"/>
            <w:left w:w="0" w:type="dxa"/>
            <w:bottom w:w="0" w:type="dxa"/>
            <w:right w:w="0" w:type="dxa"/>
          </w:tblCellMar>
        </w:tblPrEx>
        <w:trPr>
          <w:trHeight w:val="611"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33DE583E">
            <w:pPr>
              <w:widowControl/>
              <w:jc w:val="left"/>
              <w:textAlignment w:val="center"/>
              <w:rPr>
                <w:color w:val="auto"/>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299202E3">
            <w:pPr>
              <w:widowControl/>
              <w:jc w:val="left"/>
              <w:textAlignment w:val="center"/>
              <w:rPr>
                <w:color w:val="auto"/>
              </w:rPr>
            </w:pPr>
          </w:p>
        </w:tc>
        <w:tc>
          <w:tcPr>
            <w:tcW w:w="1228" w:type="dxa"/>
            <w:vMerge w:val="continue"/>
            <w:tcBorders>
              <w:left w:val="single" w:color="000000" w:sz="4" w:space="0"/>
              <w:right w:val="single" w:color="000000" w:sz="4" w:space="0"/>
            </w:tcBorders>
            <w:tcMar>
              <w:top w:w="15" w:type="dxa"/>
              <w:left w:w="15" w:type="dxa"/>
              <w:right w:w="15" w:type="dxa"/>
            </w:tcMar>
            <w:vAlign w:val="center"/>
          </w:tcPr>
          <w:p w14:paraId="084EDBD9">
            <w:pPr>
              <w:widowControl/>
              <w:numPr>
                <w:ilvl w:val="0"/>
                <w:numId w:val="0"/>
              </w:numPr>
              <w:ind w:leftChars="0"/>
              <w:jc w:val="center"/>
              <w:textAlignment w:val="center"/>
              <w:rPr>
                <w:rFonts w:hint="eastAsia" w:ascii="宋体" w:hAnsi="宋体" w:eastAsia="宋体" w:cs="宋体"/>
                <w:color w:val="auto"/>
                <w:kern w:val="0"/>
                <w:sz w:val="20"/>
                <w:szCs w:val="20"/>
              </w:rPr>
            </w:pP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8EAD7">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省级管理</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F2B4A">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超级管理员</w:t>
            </w:r>
          </w:p>
        </w:tc>
        <w:tc>
          <w:tcPr>
            <w:tcW w:w="3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71C70">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系统全部功能，含成员单位审核、数据全局查看、系统配置</w:t>
            </w:r>
          </w:p>
        </w:tc>
      </w:tr>
      <w:tr w14:paraId="38D4203A">
        <w:tblPrEx>
          <w:tblCellMar>
            <w:top w:w="0" w:type="dxa"/>
            <w:left w:w="0" w:type="dxa"/>
            <w:bottom w:w="0" w:type="dxa"/>
            <w:right w:w="0" w:type="dxa"/>
          </w:tblCellMar>
        </w:tblPrEx>
        <w:trPr>
          <w:trHeight w:val="611"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2B68D566">
            <w:pPr>
              <w:widowControl/>
              <w:jc w:val="left"/>
              <w:textAlignment w:val="center"/>
              <w:rPr>
                <w:color w:val="auto"/>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3FBD109B">
            <w:pPr>
              <w:widowControl/>
              <w:jc w:val="left"/>
              <w:textAlignment w:val="center"/>
              <w:rPr>
                <w:color w:val="auto"/>
              </w:rPr>
            </w:pPr>
          </w:p>
        </w:tc>
        <w:tc>
          <w:tcPr>
            <w:tcW w:w="1228" w:type="dxa"/>
            <w:vMerge w:val="continue"/>
            <w:tcBorders>
              <w:left w:val="single" w:color="000000" w:sz="4" w:space="0"/>
              <w:right w:val="single" w:color="000000" w:sz="4" w:space="0"/>
            </w:tcBorders>
            <w:tcMar>
              <w:top w:w="15" w:type="dxa"/>
              <w:left w:w="15" w:type="dxa"/>
              <w:right w:w="15" w:type="dxa"/>
            </w:tcMar>
            <w:vAlign w:val="center"/>
          </w:tcPr>
          <w:p w14:paraId="3453F973">
            <w:pPr>
              <w:widowControl/>
              <w:numPr>
                <w:ilvl w:val="0"/>
                <w:numId w:val="0"/>
              </w:numPr>
              <w:ind w:leftChars="0"/>
              <w:jc w:val="center"/>
              <w:textAlignment w:val="center"/>
              <w:rPr>
                <w:rFonts w:hint="eastAsia" w:ascii="宋体" w:hAnsi="宋体" w:eastAsia="宋体" w:cs="宋体"/>
                <w:color w:val="auto"/>
                <w:kern w:val="0"/>
                <w:sz w:val="20"/>
                <w:szCs w:val="20"/>
              </w:rPr>
            </w:pP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55B6E">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市级/成员单位</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A2870">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联盟单位管理员</w:t>
            </w:r>
          </w:p>
        </w:tc>
        <w:tc>
          <w:tcPr>
            <w:tcW w:w="3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C1381">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本单位全部管理功能，含人员管理、数据查看、申请提交</w:t>
            </w:r>
          </w:p>
        </w:tc>
      </w:tr>
      <w:tr w14:paraId="04097F46">
        <w:tblPrEx>
          <w:tblCellMar>
            <w:top w:w="0" w:type="dxa"/>
            <w:left w:w="0" w:type="dxa"/>
            <w:bottom w:w="0" w:type="dxa"/>
            <w:right w:w="0" w:type="dxa"/>
          </w:tblCellMar>
        </w:tblPrEx>
        <w:trPr>
          <w:trHeight w:val="611"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24E58AEA">
            <w:pPr>
              <w:widowControl/>
              <w:jc w:val="left"/>
              <w:textAlignment w:val="center"/>
              <w:rPr>
                <w:color w:val="auto"/>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2F7DD4B1">
            <w:pPr>
              <w:widowControl/>
              <w:jc w:val="left"/>
              <w:textAlignment w:val="center"/>
              <w:rPr>
                <w:color w:val="auto"/>
              </w:rPr>
            </w:pPr>
          </w:p>
        </w:tc>
        <w:tc>
          <w:tcPr>
            <w:tcW w:w="122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004061A">
            <w:pPr>
              <w:widowControl/>
              <w:numPr>
                <w:ilvl w:val="0"/>
                <w:numId w:val="0"/>
              </w:numPr>
              <w:ind w:leftChars="0"/>
              <w:jc w:val="center"/>
              <w:textAlignment w:val="center"/>
              <w:rPr>
                <w:rFonts w:hint="eastAsia" w:ascii="宋体" w:hAnsi="宋体" w:eastAsia="宋体" w:cs="宋体"/>
                <w:color w:val="auto"/>
                <w:kern w:val="0"/>
                <w:sz w:val="20"/>
                <w:szCs w:val="20"/>
              </w:rPr>
            </w:pP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8B6A9">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普通学员</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93877">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普通学员</w:t>
            </w:r>
          </w:p>
        </w:tc>
        <w:tc>
          <w:tcPr>
            <w:tcW w:w="3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C297E">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学习、查看自身相关数据</w:t>
            </w:r>
            <w:r>
              <w:rPr>
                <w:rFonts w:hint="eastAsia" w:ascii="宋体" w:hAnsi="宋体" w:eastAsia="宋体" w:cs="宋体"/>
                <w:color w:val="auto"/>
                <w:kern w:val="0"/>
                <w:sz w:val="20"/>
                <w:szCs w:val="20"/>
              </w:rPr>
              <w:tab/>
            </w:r>
          </w:p>
        </w:tc>
      </w:tr>
      <w:tr w14:paraId="074CA74D">
        <w:tblPrEx>
          <w:tblCellMar>
            <w:top w:w="0" w:type="dxa"/>
            <w:left w:w="0" w:type="dxa"/>
            <w:bottom w:w="0" w:type="dxa"/>
            <w:right w:w="0" w:type="dxa"/>
          </w:tblCellMar>
        </w:tblPrEx>
        <w:trPr>
          <w:trHeight w:val="611"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0F0DA36A">
            <w:pPr>
              <w:widowControl/>
              <w:jc w:val="left"/>
              <w:textAlignment w:val="center"/>
              <w:rPr>
                <w:color w:val="auto"/>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7EE2F6A1">
            <w:pPr>
              <w:widowControl/>
              <w:jc w:val="left"/>
              <w:textAlignment w:val="center"/>
              <w:rPr>
                <w:color w:val="auto"/>
              </w:rPr>
            </w:pPr>
          </w:p>
        </w:tc>
        <w:tc>
          <w:tcPr>
            <w:tcW w:w="122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D8D96A3">
            <w:pPr>
              <w:widowControl/>
              <w:numPr>
                <w:ilvl w:val="0"/>
                <w:numId w:val="0"/>
              </w:numPr>
              <w:ind w:leftChars="0"/>
              <w:jc w:val="center"/>
              <w:textAlignment w:val="center"/>
              <w:rPr>
                <w:rFonts w:hint="eastAsia" w:ascii="宋体" w:hAnsi="宋体" w:eastAsia="宋体" w:cs="宋体"/>
                <w:color w:val="auto"/>
                <w:kern w:val="0"/>
                <w:sz w:val="20"/>
                <w:szCs w:val="20"/>
              </w:rPr>
            </w:pP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E2680">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访客</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E598">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访客</w:t>
            </w:r>
          </w:p>
        </w:tc>
        <w:tc>
          <w:tcPr>
            <w:tcW w:w="3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87F8E">
            <w:pPr>
              <w:widowControl/>
              <w:numPr>
                <w:ilvl w:val="0"/>
                <w:numId w:val="0"/>
              </w:numPr>
              <w:ind w:leftChars="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仅浏览公开门户内容</w:t>
            </w:r>
          </w:p>
        </w:tc>
      </w:tr>
      <w:tr w14:paraId="4A74B88E">
        <w:tblPrEx>
          <w:tblCellMar>
            <w:top w:w="0" w:type="dxa"/>
            <w:left w:w="0" w:type="dxa"/>
            <w:bottom w:w="0" w:type="dxa"/>
            <w:right w:w="0" w:type="dxa"/>
          </w:tblCellMar>
        </w:tblPrEx>
        <w:trPr>
          <w:trHeight w:val="705"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44F806AF">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7DE68B3C">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1AD63">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内容审核机制</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8D47B">
            <w:pPr>
              <w:widowControl/>
              <w:numPr>
                <w:ilvl w:val="0"/>
                <w:numId w:val="40"/>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发布的动态、课程、科研项目信息等需经审核后方可上线。</w:t>
            </w:r>
          </w:p>
        </w:tc>
      </w:tr>
      <w:tr w14:paraId="2DA64D94">
        <w:tblPrEx>
          <w:tblCellMar>
            <w:top w:w="0" w:type="dxa"/>
            <w:left w:w="0" w:type="dxa"/>
            <w:bottom w:w="0" w:type="dxa"/>
            <w:right w:w="0" w:type="dxa"/>
          </w:tblCellMar>
        </w:tblPrEx>
        <w:trPr>
          <w:trHeight w:val="231" w:hRule="atLeast"/>
        </w:trPr>
        <w:tc>
          <w:tcPr>
            <w:tcW w:w="674" w:type="dxa"/>
            <w:vMerge w:val="continue"/>
            <w:tcBorders>
              <w:left w:val="single" w:color="000000" w:sz="4" w:space="0"/>
              <w:right w:val="single" w:color="000000" w:sz="4" w:space="0"/>
            </w:tcBorders>
            <w:tcMar>
              <w:top w:w="15" w:type="dxa"/>
              <w:left w:w="15" w:type="dxa"/>
              <w:right w:w="15" w:type="dxa"/>
            </w:tcMar>
            <w:vAlign w:val="center"/>
          </w:tcPr>
          <w:p w14:paraId="6A65560A">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right w:val="single" w:color="000000" w:sz="4" w:space="0"/>
            </w:tcBorders>
            <w:tcMar>
              <w:top w:w="15" w:type="dxa"/>
              <w:left w:w="15" w:type="dxa"/>
              <w:right w:w="15" w:type="dxa"/>
            </w:tcMar>
            <w:vAlign w:val="center"/>
          </w:tcPr>
          <w:p w14:paraId="1EC121D7">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A03BF">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数据统计看板</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C4C25">
            <w:pPr>
              <w:widowControl/>
              <w:numPr>
                <w:ilvl w:val="0"/>
                <w:numId w:val="41"/>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统计平台访问量、培训参与率、会诊申请量、数据上报情况等核心运营指标。</w:t>
            </w:r>
          </w:p>
        </w:tc>
      </w:tr>
      <w:tr w14:paraId="4A0ABE60">
        <w:tblPrEx>
          <w:tblCellMar>
            <w:top w:w="0" w:type="dxa"/>
            <w:left w:w="0" w:type="dxa"/>
            <w:bottom w:w="0" w:type="dxa"/>
            <w:right w:w="0" w:type="dxa"/>
          </w:tblCellMar>
        </w:tblPrEx>
        <w:trPr>
          <w:trHeight w:val="697" w:hRule="atLeast"/>
        </w:trPr>
        <w:tc>
          <w:tcPr>
            <w:tcW w:w="6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BF358FF">
            <w:pPr>
              <w:widowControl/>
              <w:jc w:val="center"/>
              <w:textAlignment w:val="center"/>
              <w:rPr>
                <w:rFonts w:ascii="宋体" w:hAnsi="宋体" w:eastAsia="宋体" w:cs="宋体"/>
                <w:color w:val="auto"/>
                <w:kern w:val="0"/>
                <w:sz w:val="20"/>
                <w:szCs w:val="20"/>
              </w:rPr>
            </w:pPr>
          </w:p>
        </w:tc>
        <w:tc>
          <w:tcPr>
            <w:tcW w:w="8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2EBEEB3">
            <w:pPr>
              <w:widowControl/>
              <w:jc w:val="center"/>
              <w:textAlignment w:val="center"/>
              <w:rPr>
                <w:rFonts w:ascii="宋体" w:hAnsi="宋体" w:eastAsia="宋体" w:cs="宋体"/>
                <w:color w:val="auto"/>
                <w:kern w:val="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3A4A7">
            <w:pPr>
              <w:widowControl/>
              <w:numPr>
                <w:ilvl w:val="0"/>
                <w:numId w:val="0"/>
              </w:numPr>
              <w:ind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报告自动生成</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C3AC1">
            <w:pPr>
              <w:widowControl/>
              <w:numPr>
                <w:ilvl w:val="0"/>
                <w:numId w:val="42"/>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按季度/年度自动生成联盟运行报告（Word/Excel格式），包含关键指标分析、典型案例、成效总结与改进建议。</w:t>
            </w:r>
          </w:p>
        </w:tc>
      </w:tr>
      <w:tr w14:paraId="6FFA113F">
        <w:tblPrEx>
          <w:tblCellMar>
            <w:top w:w="0" w:type="dxa"/>
            <w:left w:w="0" w:type="dxa"/>
            <w:bottom w:w="0" w:type="dxa"/>
            <w:right w:w="0" w:type="dxa"/>
          </w:tblCellMar>
        </w:tblPrEx>
        <w:trPr>
          <w:trHeight w:val="1733"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718CB">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65A71">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联盟新媒体运营服务</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5641B">
            <w:pPr>
              <w:widowControl/>
              <w:numPr>
                <w:ilvl w:val="0"/>
                <w:numId w:val="0"/>
              </w:numPr>
              <w:ind w:leftChars="0"/>
              <w:jc w:val="center"/>
              <w:textAlignment w:val="center"/>
              <w:rPr>
                <w:color w:val="auto"/>
              </w:rPr>
            </w:pPr>
            <w:r>
              <w:rPr>
                <w:rFonts w:hint="eastAsia" w:ascii="宋体" w:hAnsi="宋体" w:eastAsia="宋体" w:cs="宋体"/>
                <w:color w:val="auto"/>
                <w:kern w:val="0"/>
                <w:sz w:val="20"/>
                <w:szCs w:val="20"/>
              </w:rPr>
              <w:t>运营服务期限不少于5年，包括但不限于以下内容</w:t>
            </w:r>
          </w:p>
        </w:tc>
        <w:tc>
          <w:tcPr>
            <w:tcW w:w="100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3D70D">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负责官方公众号、互联网平台的宣传与运营维护。</w:t>
            </w:r>
          </w:p>
          <w:p w14:paraId="0FDE1236">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统一品牌 VI 设计：LOGO、会徽、背景板、宣传物料、海报等。</w:t>
            </w:r>
          </w:p>
          <w:p w14:paraId="3605222E">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负责宣传文案优化、排版美化及宣传平台维护。</w:t>
            </w:r>
          </w:p>
          <w:p w14:paraId="401C2317">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协助筹备、调研、设计、导播、宣传推广、品牌建设课程、联盟成员单位管理、工作报告等学科运营服务支撑。</w:t>
            </w:r>
          </w:p>
          <w:p w14:paraId="18682D9D">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协助宣教平台技术支持（统一设计、宣传、推广、导播、数据统计及汇报），全年不限时长、不限场次。</w:t>
            </w:r>
          </w:p>
          <w:p w14:paraId="456BB85D">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协助医院完成联盟体系搭建。</w:t>
            </w:r>
          </w:p>
          <w:p w14:paraId="7E6E058A">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协助完成联盟成员单位调研，基础信息及意向收集，挖掘需求匹配及基层渗透。</w:t>
            </w:r>
          </w:p>
          <w:p w14:paraId="588CEF07">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协助联盟资料库建立：日常运行活动计划落地执行及效果反馈。</w:t>
            </w:r>
          </w:p>
          <w:p w14:paraId="2935A52B">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视频剪辑、内容维护、知识库搭建及维护。</w:t>
            </w:r>
          </w:p>
          <w:p w14:paraId="56721E41">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学术活动线上平台技术支持：直播会议平台、直播创建、授课专家测试、会控调试、导播转播、视频剪辑、回放生成。</w:t>
            </w:r>
          </w:p>
          <w:p w14:paraId="0F9C7016">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运营过程管理、文档整理及复盘、运营工作总结汇报。</w:t>
            </w:r>
          </w:p>
          <w:p w14:paraId="780FE939">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交付物：每月提供月度运营报告，每年提供年度总结报告。</w:t>
            </w:r>
          </w:p>
          <w:p w14:paraId="4298BA98">
            <w:pPr>
              <w:widowControl/>
              <w:numPr>
                <w:ilvl w:val="0"/>
                <w:numId w:val="43"/>
              </w:numPr>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考核：无固定人员配置要求，但需确保服务质量达标，具体验收标准双方协商确定。</w:t>
            </w:r>
          </w:p>
        </w:tc>
      </w:tr>
    </w:tbl>
    <w:p w14:paraId="60C2ECF9">
      <w:pPr>
        <w:spacing w:line="400" w:lineRule="exact"/>
        <w:rPr>
          <w:rFonts w:ascii="Calibri" w:hAnsi="Calibri"/>
          <w:b/>
          <w:bCs/>
          <w:color w:val="000000" w:themeColor="text1"/>
          <w:szCs w:val="22"/>
          <w14:textFill>
            <w14:solidFill>
              <w14:schemeClr w14:val="tx1"/>
            </w14:solidFill>
          </w14:textFill>
        </w:rPr>
      </w:pPr>
    </w:p>
    <w:tbl>
      <w:tblPr>
        <w:tblStyle w:val="9"/>
        <w:tblW w:w="1280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1531"/>
      </w:tblGrid>
      <w:tr w14:paraId="5064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00" w:type="dxa"/>
            <w:gridSpan w:val="2"/>
          </w:tcPr>
          <w:p w14:paraId="4FED809C">
            <w:pPr>
              <w:spacing w:line="400" w:lineRule="exact"/>
              <w:rPr>
                <w:rFonts w:ascii="Calibri" w:hAnsi="Calibri"/>
                <w:color w:val="auto"/>
                <w:szCs w:val="22"/>
              </w:rPr>
            </w:pPr>
            <w:r>
              <w:rPr>
                <w:rFonts w:hint="eastAsia" w:ascii="Calibri" w:hAnsi="Calibri"/>
                <w:b/>
                <w:bCs/>
                <w:color w:val="auto"/>
                <w:szCs w:val="22"/>
              </w:rPr>
              <w:t>技术</w:t>
            </w:r>
            <w:r>
              <w:rPr>
                <w:rFonts w:ascii="Calibri" w:hAnsi="Calibri"/>
                <w:b/>
                <w:bCs/>
                <w:color w:val="auto"/>
                <w:szCs w:val="22"/>
              </w:rPr>
              <w:t>要求</w:t>
            </w:r>
          </w:p>
        </w:tc>
      </w:tr>
      <w:tr w14:paraId="4240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shd w:val="clear" w:color="auto" w:fill="auto"/>
            <w:vAlign w:val="center"/>
          </w:tcPr>
          <w:p w14:paraId="51E23D31">
            <w:pPr>
              <w:jc w:val="center"/>
              <w:rPr>
                <w:rFonts w:ascii="宋体" w:hAnsi="宋体" w:cs="宋体"/>
                <w:color w:val="auto"/>
                <w:szCs w:val="21"/>
              </w:rPr>
            </w:pPr>
            <w:r>
              <w:rPr>
                <w:rStyle w:val="11"/>
                <w:rFonts w:hint="default"/>
                <w:color w:val="auto"/>
              </w:rPr>
              <w:t>接口要求</w:t>
            </w:r>
          </w:p>
        </w:tc>
        <w:tc>
          <w:tcPr>
            <w:tcW w:w="11531" w:type="dxa"/>
            <w:shd w:val="clear" w:color="auto" w:fill="auto"/>
          </w:tcPr>
          <w:p w14:paraId="2C434293">
            <w:pPr>
              <w:numPr>
                <w:ilvl w:val="0"/>
                <w:numId w:val="44"/>
              </w:numPr>
              <w:jc w:val="left"/>
              <w:rPr>
                <w:rFonts w:ascii="宋体" w:hAnsi="宋体"/>
                <w:color w:val="auto"/>
                <w:szCs w:val="21"/>
              </w:rPr>
            </w:pPr>
            <w:r>
              <w:rPr>
                <w:rFonts w:hint="eastAsia" w:ascii="宋体" w:hAnsi="宋体"/>
                <w:color w:val="auto"/>
                <w:szCs w:val="21"/>
              </w:rPr>
              <w:t>系统提供标准数据 API 接口，用于联盟成员单位的数据上报（质控数据等），并提供完整接口文档。</w:t>
            </w:r>
          </w:p>
          <w:p w14:paraId="701FEAE2">
            <w:pPr>
              <w:numPr>
                <w:ilvl w:val="0"/>
                <w:numId w:val="44"/>
              </w:numPr>
              <w:jc w:val="left"/>
              <w:rPr>
                <w:rFonts w:ascii="宋体" w:hAnsi="宋体" w:cs="宋体"/>
                <w:color w:val="auto"/>
                <w:szCs w:val="21"/>
              </w:rPr>
            </w:pPr>
            <w:r>
              <w:rPr>
                <w:rFonts w:hint="eastAsia" w:ascii="宋体" w:hAnsi="宋体"/>
                <w:color w:val="auto"/>
                <w:szCs w:val="21"/>
              </w:rPr>
              <w:t>会诊数据不与成员单位电子病历系统直接对接，通过 API 上报和手动录入方式采集数据。</w:t>
            </w:r>
          </w:p>
          <w:p w14:paraId="1B9F45F7">
            <w:pPr>
              <w:numPr>
                <w:ilvl w:val="0"/>
                <w:numId w:val="44"/>
              </w:numPr>
              <w:jc w:val="left"/>
              <w:rPr>
                <w:rFonts w:ascii="宋体" w:hAnsi="宋体" w:cs="宋体"/>
                <w:color w:val="auto"/>
                <w:szCs w:val="21"/>
              </w:rPr>
            </w:pPr>
            <w:r>
              <w:rPr>
                <w:rFonts w:hint="eastAsia" w:ascii="宋体" w:hAnsi="宋体" w:cs="宋体"/>
                <w:color w:val="auto"/>
                <w:szCs w:val="21"/>
              </w:rPr>
              <w:t>本项目不设置接口数量上限。</w:t>
            </w:r>
          </w:p>
          <w:p w14:paraId="65028FF4">
            <w:pPr>
              <w:numPr>
                <w:ilvl w:val="0"/>
                <w:numId w:val="44"/>
              </w:numPr>
              <w:jc w:val="left"/>
              <w:rPr>
                <w:rFonts w:ascii="宋体" w:hAnsi="宋体" w:cs="宋体"/>
                <w:color w:val="auto"/>
                <w:szCs w:val="21"/>
              </w:rPr>
            </w:pPr>
            <w:r>
              <w:rPr>
                <w:rFonts w:hint="eastAsia" w:ascii="宋体" w:hAnsi="宋体" w:cs="宋体"/>
                <w:color w:val="auto"/>
                <w:szCs w:val="21"/>
              </w:rPr>
              <w:t>合同期内，针对医院后续新增业务系统所需的接口开发、调试及对接服务，均包含在本次投标总价中，不再另行收取任何费用。</w:t>
            </w:r>
          </w:p>
        </w:tc>
      </w:tr>
      <w:tr w14:paraId="388C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69" w:type="dxa"/>
            <w:shd w:val="clear" w:color="auto" w:fill="auto"/>
            <w:vAlign w:val="center"/>
          </w:tcPr>
          <w:p w14:paraId="2C7E4F82">
            <w:pPr>
              <w:jc w:val="center"/>
              <w:rPr>
                <w:rFonts w:ascii="宋体" w:hAnsi="宋体" w:cs="宋体"/>
                <w:color w:val="auto"/>
                <w:szCs w:val="21"/>
              </w:rPr>
            </w:pPr>
            <w:r>
              <w:rPr>
                <w:rStyle w:val="11"/>
                <w:rFonts w:hint="default"/>
                <w:color w:val="auto"/>
                <w:sz w:val="21"/>
                <w:szCs w:val="21"/>
              </w:rPr>
              <w:t>硬件与基础设施解决方案要求</w:t>
            </w:r>
          </w:p>
        </w:tc>
        <w:tc>
          <w:tcPr>
            <w:tcW w:w="11531" w:type="dxa"/>
            <w:shd w:val="clear" w:color="auto" w:fill="auto"/>
            <w:vAlign w:val="center"/>
          </w:tcPr>
          <w:p w14:paraId="046598EE">
            <w:pPr>
              <w:widowControl/>
              <w:jc w:val="left"/>
              <w:textAlignment w:val="top"/>
              <w:rPr>
                <w:rStyle w:val="11"/>
                <w:rFonts w:hint="default"/>
                <w:color w:val="auto"/>
                <w:sz w:val="21"/>
                <w:szCs w:val="21"/>
              </w:rPr>
            </w:pPr>
            <w:r>
              <w:rPr>
                <w:rStyle w:val="11"/>
                <w:rFonts w:hint="default"/>
                <w:color w:val="auto"/>
                <w:sz w:val="21"/>
                <w:szCs w:val="21"/>
              </w:rPr>
              <w:t>1.供应商需提供详细的硬件配置方案（应用服务器、数据库服务器等），AI算力采用云端API方式，不涉及AI算力服务器。</w:t>
            </w:r>
          </w:p>
          <w:p w14:paraId="750BD7C8">
            <w:pPr>
              <w:widowControl/>
              <w:jc w:val="left"/>
              <w:textAlignment w:val="top"/>
              <w:rPr>
                <w:rStyle w:val="11"/>
                <w:rFonts w:hint="default"/>
                <w:color w:val="auto"/>
                <w:sz w:val="21"/>
                <w:szCs w:val="21"/>
              </w:rPr>
            </w:pPr>
            <w:r>
              <w:rPr>
                <w:rStyle w:val="11"/>
                <w:rFonts w:hint="default"/>
                <w:color w:val="auto"/>
                <w:sz w:val="21"/>
                <w:szCs w:val="21"/>
              </w:rPr>
              <w:t>2.视频直播及存储因采用 SaaS 服务，无需医院准备相关服务器资源。</w:t>
            </w:r>
          </w:p>
          <w:p w14:paraId="6962050A">
            <w:pPr>
              <w:jc w:val="left"/>
              <w:rPr>
                <w:rFonts w:ascii="宋体" w:hAnsi="宋体"/>
                <w:color w:val="auto"/>
                <w:szCs w:val="21"/>
              </w:rPr>
            </w:pPr>
            <w:r>
              <w:rPr>
                <w:rStyle w:val="11"/>
                <w:color w:val="auto"/>
                <w:sz w:val="21"/>
                <w:szCs w:val="21"/>
              </w:rPr>
              <w:t>3.信创环境适配：系统须全面兼容信创（信息技术应用创新）软硬件生态，包括但不限于国产CPU架构（如鲲鹏、飞腾、龙芯）、国产操作系统（如麒麟、统信UOS）、国产数据库（如达梦、人大金仓、OceanBase）及中间件</w:t>
            </w:r>
            <w:r>
              <w:rPr>
                <w:rFonts w:hint="eastAsia" w:ascii="宋体" w:hAnsi="宋体"/>
                <w:color w:val="auto"/>
                <w:szCs w:val="21"/>
              </w:rPr>
              <w:t>，具备良好的平台适配性与数据迁移能力。供应商须免费提供不少于2套适配本系统的正版国产数据库授权，用于主节点、备节点或容灾环境部署，如有需要一并免费提供同步软件，确保系统高可用性。</w:t>
            </w:r>
          </w:p>
        </w:tc>
      </w:tr>
      <w:tr w14:paraId="053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69" w:type="dxa"/>
            <w:shd w:val="clear" w:color="auto" w:fill="auto"/>
            <w:vAlign w:val="center"/>
          </w:tcPr>
          <w:p w14:paraId="4DE40E62">
            <w:pPr>
              <w:jc w:val="center"/>
              <w:rPr>
                <w:rFonts w:ascii="宋体" w:hAnsi="宋体" w:eastAsia="宋体" w:cs="宋体"/>
                <w:color w:val="auto"/>
                <w:sz w:val="20"/>
                <w:szCs w:val="20"/>
              </w:rPr>
            </w:pPr>
            <w:r>
              <w:rPr>
                <w:rStyle w:val="11"/>
                <w:rFonts w:hint="default"/>
                <w:color w:val="auto"/>
              </w:rPr>
              <w:t>性能要求</w:t>
            </w:r>
          </w:p>
        </w:tc>
        <w:tc>
          <w:tcPr>
            <w:tcW w:w="11531" w:type="dxa"/>
            <w:shd w:val="clear" w:color="auto" w:fill="auto"/>
            <w:vAlign w:val="center"/>
          </w:tcPr>
          <w:p w14:paraId="0C955CD4">
            <w:pPr>
              <w:widowControl/>
              <w:jc w:val="left"/>
              <w:textAlignment w:val="top"/>
              <w:rPr>
                <w:rFonts w:ascii="宋体" w:hAnsi="宋体" w:cs="宋体"/>
                <w:color w:val="auto"/>
                <w:szCs w:val="21"/>
              </w:rPr>
            </w:pPr>
            <w:r>
              <w:rPr>
                <w:rFonts w:hint="eastAsia" w:ascii="宋体" w:hAnsi="宋体" w:cs="宋体"/>
                <w:color w:val="auto"/>
                <w:szCs w:val="21"/>
              </w:rPr>
              <w:t>1.最大并发用户数：系统整体支持不低于100人同时在线（培训模块不低于1000人）；AI功能并发不低于 5人。</w:t>
            </w:r>
          </w:p>
          <w:p w14:paraId="4FBF92E2">
            <w:pPr>
              <w:widowControl/>
              <w:jc w:val="left"/>
              <w:textAlignment w:val="top"/>
              <w:rPr>
                <w:rFonts w:ascii="宋体" w:hAnsi="宋体" w:cs="宋体"/>
                <w:color w:val="auto"/>
                <w:szCs w:val="21"/>
              </w:rPr>
            </w:pPr>
            <w:r>
              <w:rPr>
                <w:rFonts w:hint="eastAsia" w:ascii="宋体" w:hAnsi="宋体" w:cs="宋体"/>
                <w:color w:val="auto"/>
                <w:szCs w:val="21"/>
              </w:rPr>
              <w:t>2.响应时间：常规页面操作 &lt; 3秒；复杂报表生成 &lt; 6秒。</w:t>
            </w:r>
          </w:p>
          <w:p w14:paraId="6FB87EBE">
            <w:pPr>
              <w:widowControl/>
              <w:jc w:val="left"/>
              <w:textAlignment w:val="top"/>
              <w:rPr>
                <w:rFonts w:ascii="宋体" w:hAnsi="宋体" w:cs="宋体"/>
                <w:color w:val="auto"/>
                <w:szCs w:val="21"/>
              </w:rPr>
            </w:pPr>
            <w:r>
              <w:rPr>
                <w:rFonts w:hint="eastAsia" w:ascii="宋体" w:hAnsi="宋体" w:cs="宋体"/>
                <w:color w:val="auto"/>
                <w:szCs w:val="21"/>
              </w:rPr>
              <w:t>3.直播并发：支持同时在线人数不低于1000人。</w:t>
            </w:r>
          </w:p>
          <w:p w14:paraId="372BCD0F">
            <w:pPr>
              <w:widowControl/>
              <w:jc w:val="left"/>
              <w:textAlignment w:val="top"/>
              <w:rPr>
                <w:rFonts w:ascii="宋体" w:hAnsi="宋体" w:cs="宋体"/>
                <w:color w:val="auto"/>
                <w:szCs w:val="21"/>
              </w:rPr>
            </w:pPr>
            <w:r>
              <w:rPr>
                <w:rFonts w:hint="eastAsia" w:ascii="宋体" w:hAnsi="宋体" w:cs="宋体"/>
                <w:color w:val="auto"/>
                <w:szCs w:val="21"/>
              </w:rPr>
              <w:t>4.资源占用：在正常负载下，服务器端CPU平均利用率 ≤ 70%，内存利用率 ≤ 80%。</w:t>
            </w:r>
          </w:p>
          <w:p w14:paraId="77B4C9D5">
            <w:pPr>
              <w:widowControl/>
              <w:jc w:val="left"/>
              <w:textAlignment w:val="top"/>
              <w:rPr>
                <w:rFonts w:ascii="宋体" w:hAnsi="宋体" w:cs="宋体"/>
                <w:color w:val="auto"/>
                <w:szCs w:val="21"/>
              </w:rPr>
            </w:pPr>
            <w:r>
              <w:rPr>
                <w:rFonts w:hint="eastAsia" w:ascii="宋体" w:hAnsi="宋体" w:cs="宋体"/>
                <w:color w:val="auto"/>
                <w:szCs w:val="21"/>
              </w:rPr>
              <w:t>5.可靠性：系统年宕机时间不超过5小时，可用性达到99.9%以上。</w:t>
            </w:r>
          </w:p>
          <w:p w14:paraId="60DA4EB4">
            <w:pPr>
              <w:widowControl/>
              <w:jc w:val="left"/>
              <w:textAlignment w:val="top"/>
              <w:rPr>
                <w:rFonts w:ascii="宋体" w:hAnsi="宋体" w:cs="宋体"/>
                <w:color w:val="auto"/>
                <w:szCs w:val="21"/>
              </w:rPr>
            </w:pPr>
            <w:r>
              <w:rPr>
                <w:rFonts w:hint="eastAsia" w:ascii="宋体" w:hAnsi="宋体" w:cs="宋体"/>
                <w:color w:val="auto"/>
                <w:szCs w:val="21"/>
              </w:rPr>
              <w:t>6.扩展性：支持通过横向扩展提升系统处理能力。</w:t>
            </w:r>
          </w:p>
        </w:tc>
      </w:tr>
      <w:tr w14:paraId="1179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69" w:type="dxa"/>
            <w:shd w:val="clear" w:color="auto" w:fill="auto"/>
            <w:vAlign w:val="center"/>
          </w:tcPr>
          <w:p w14:paraId="52BC2292">
            <w:pPr>
              <w:jc w:val="center"/>
              <w:rPr>
                <w:rFonts w:ascii="宋体" w:hAnsi="宋体" w:cs="宋体"/>
                <w:color w:val="auto"/>
                <w:szCs w:val="21"/>
              </w:rPr>
            </w:pPr>
            <w:r>
              <w:rPr>
                <w:rStyle w:val="11"/>
                <w:rFonts w:hint="default"/>
                <w:color w:val="auto"/>
                <w:sz w:val="21"/>
                <w:szCs w:val="21"/>
              </w:rPr>
              <w:t>技术架构与部署要求</w:t>
            </w:r>
          </w:p>
        </w:tc>
        <w:tc>
          <w:tcPr>
            <w:tcW w:w="11531" w:type="dxa"/>
            <w:shd w:val="clear" w:color="auto" w:fill="auto"/>
          </w:tcPr>
          <w:p w14:paraId="3F0D1661">
            <w:pPr>
              <w:numPr>
                <w:ilvl w:val="0"/>
                <w:numId w:val="45"/>
              </w:numPr>
              <w:jc w:val="left"/>
              <w:rPr>
                <w:rFonts w:ascii="宋体" w:hAnsi="宋体"/>
                <w:color w:val="auto"/>
                <w:szCs w:val="21"/>
              </w:rPr>
            </w:pPr>
            <w:r>
              <w:rPr>
                <w:rFonts w:hint="eastAsia" w:ascii="宋体" w:hAnsi="宋体"/>
                <w:color w:val="auto"/>
                <w:szCs w:val="21"/>
              </w:rPr>
              <w:t>灵活部署：除在线课堂系统外，支持本地化部署（医院指定内部机房），具体方式由医院根据资源情况决定。</w:t>
            </w:r>
          </w:p>
          <w:p w14:paraId="098D59AE">
            <w:pPr>
              <w:numPr>
                <w:ilvl w:val="0"/>
                <w:numId w:val="45"/>
              </w:numPr>
              <w:jc w:val="left"/>
              <w:rPr>
                <w:rFonts w:ascii="宋体" w:hAnsi="宋体"/>
                <w:color w:val="auto"/>
                <w:szCs w:val="21"/>
              </w:rPr>
            </w:pPr>
            <w:r>
              <w:rPr>
                <w:rFonts w:hint="eastAsia" w:ascii="宋体" w:hAnsi="宋体"/>
                <w:color w:val="auto"/>
                <w:szCs w:val="21"/>
              </w:rPr>
              <w:t>在线课程系统（含直播、课程、支付等），采用云端 SaaS 部署，但其数据（学员信息、学习记录等）须与主平台进行同步集成。</w:t>
            </w:r>
          </w:p>
          <w:p w14:paraId="0D79F9B5">
            <w:pPr>
              <w:numPr>
                <w:ilvl w:val="0"/>
                <w:numId w:val="45"/>
              </w:numPr>
              <w:jc w:val="left"/>
              <w:rPr>
                <w:rFonts w:ascii="宋体" w:hAnsi="宋体"/>
                <w:color w:val="auto"/>
                <w:szCs w:val="21"/>
              </w:rPr>
            </w:pPr>
            <w:r>
              <w:rPr>
                <w:rFonts w:hint="eastAsia" w:ascii="宋体" w:hAnsi="宋体"/>
                <w:color w:val="auto"/>
                <w:szCs w:val="21"/>
              </w:rPr>
              <w:t>数据安全：无论何种部署方式，遵循“数据不出院”原则（针对院内数据），患者敏感信息（姓名、住院号等）脱敏，同时内部需进行加密存储。</w:t>
            </w:r>
          </w:p>
        </w:tc>
      </w:tr>
      <w:tr w14:paraId="0B7C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69" w:type="dxa"/>
            <w:shd w:val="clear" w:color="auto" w:fill="auto"/>
            <w:vAlign w:val="center"/>
          </w:tcPr>
          <w:p w14:paraId="481DA889">
            <w:pPr>
              <w:jc w:val="center"/>
              <w:rPr>
                <w:rStyle w:val="11"/>
                <w:rFonts w:hint="default"/>
                <w:color w:val="auto"/>
                <w:sz w:val="21"/>
                <w:szCs w:val="21"/>
              </w:rPr>
            </w:pPr>
            <w:r>
              <w:rPr>
                <w:rStyle w:val="11"/>
                <w:rFonts w:hint="default"/>
                <w:color w:val="auto"/>
                <w:sz w:val="21"/>
                <w:szCs w:val="21"/>
              </w:rPr>
              <w:t>安全合规性要求</w:t>
            </w:r>
          </w:p>
        </w:tc>
        <w:tc>
          <w:tcPr>
            <w:tcW w:w="11531" w:type="dxa"/>
            <w:shd w:val="clear" w:color="auto" w:fill="auto"/>
          </w:tcPr>
          <w:p w14:paraId="2B88D3C2">
            <w:pPr>
              <w:widowControl/>
              <w:jc w:val="left"/>
              <w:textAlignment w:val="top"/>
              <w:rPr>
                <w:rStyle w:val="11"/>
                <w:rFonts w:hint="default"/>
                <w:color w:val="auto"/>
                <w:sz w:val="21"/>
                <w:szCs w:val="21"/>
              </w:rPr>
            </w:pPr>
            <w:r>
              <w:rPr>
                <w:rStyle w:val="11"/>
                <w:rFonts w:hint="default"/>
                <w:color w:val="auto"/>
                <w:sz w:val="21"/>
                <w:szCs w:val="21"/>
              </w:rPr>
              <w:t>1.系统设计须符合网络安全等级保护二级及以上要求。</w:t>
            </w:r>
          </w:p>
          <w:p w14:paraId="4FE0A23F">
            <w:pPr>
              <w:widowControl/>
              <w:jc w:val="left"/>
              <w:textAlignment w:val="top"/>
              <w:rPr>
                <w:rStyle w:val="11"/>
                <w:rFonts w:hint="default"/>
                <w:color w:val="auto"/>
                <w:sz w:val="21"/>
                <w:szCs w:val="21"/>
              </w:rPr>
            </w:pPr>
            <w:r>
              <w:rPr>
                <w:rStyle w:val="11"/>
                <w:rFonts w:hint="default"/>
                <w:color w:val="auto"/>
                <w:sz w:val="21"/>
                <w:szCs w:val="21"/>
              </w:rPr>
              <w:t>2.数据传输采用 HTTPS 加密，患者敏感信息（姓名、住院号等）脱敏并进行加密存储。</w:t>
            </w:r>
          </w:p>
          <w:p w14:paraId="57E5456D">
            <w:pPr>
              <w:widowControl/>
              <w:jc w:val="left"/>
              <w:textAlignment w:val="top"/>
              <w:rPr>
                <w:rStyle w:val="11"/>
                <w:rFonts w:hint="default"/>
                <w:color w:val="auto"/>
                <w:sz w:val="21"/>
                <w:szCs w:val="21"/>
              </w:rPr>
            </w:pPr>
            <w:r>
              <w:rPr>
                <w:rStyle w:val="11"/>
                <w:rFonts w:hint="default"/>
                <w:color w:val="auto"/>
                <w:sz w:val="21"/>
                <w:szCs w:val="21"/>
              </w:rPr>
              <w:t>3.提供完整的操作日志审计功能，记录所有关键操作。</w:t>
            </w:r>
          </w:p>
          <w:p w14:paraId="437CDC5E">
            <w:pPr>
              <w:widowControl/>
              <w:jc w:val="left"/>
              <w:textAlignment w:val="top"/>
              <w:rPr>
                <w:rStyle w:val="11"/>
                <w:rFonts w:hint="default"/>
                <w:color w:val="auto"/>
                <w:sz w:val="21"/>
                <w:szCs w:val="21"/>
              </w:rPr>
            </w:pPr>
            <w:r>
              <w:rPr>
                <w:rStyle w:val="11"/>
                <w:rFonts w:hint="default"/>
                <w:color w:val="auto"/>
                <w:sz w:val="21"/>
                <w:szCs w:val="21"/>
              </w:rPr>
              <w:t>4.支持数据定期备份与灾难恢复机制。</w:t>
            </w:r>
          </w:p>
        </w:tc>
      </w:tr>
      <w:tr w14:paraId="6234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69" w:type="dxa"/>
            <w:shd w:val="clear" w:color="auto" w:fill="auto"/>
            <w:vAlign w:val="center"/>
          </w:tcPr>
          <w:p w14:paraId="65FE5AFF">
            <w:pPr>
              <w:jc w:val="center"/>
              <w:rPr>
                <w:rStyle w:val="11"/>
                <w:rFonts w:hint="default"/>
                <w:color w:val="auto"/>
                <w:sz w:val="21"/>
                <w:szCs w:val="21"/>
              </w:rPr>
            </w:pPr>
            <w:r>
              <w:rPr>
                <w:rStyle w:val="11"/>
                <w:rFonts w:hint="default"/>
                <w:color w:val="auto"/>
                <w:sz w:val="21"/>
                <w:szCs w:val="21"/>
              </w:rPr>
              <w:t>本地化开发与服务支持</w:t>
            </w:r>
          </w:p>
        </w:tc>
        <w:tc>
          <w:tcPr>
            <w:tcW w:w="11531" w:type="dxa"/>
            <w:shd w:val="clear" w:color="auto" w:fill="auto"/>
          </w:tcPr>
          <w:p w14:paraId="779E9FC2">
            <w:pPr>
              <w:jc w:val="left"/>
              <w:rPr>
                <w:rFonts w:ascii="宋体" w:hAnsi="宋体"/>
                <w:color w:val="auto"/>
                <w:szCs w:val="21"/>
              </w:rPr>
            </w:pPr>
            <w:r>
              <w:rPr>
                <w:rFonts w:hint="eastAsia" w:ascii="宋体" w:hAnsi="宋体"/>
                <w:color w:val="auto"/>
                <w:szCs w:val="21"/>
              </w:rPr>
              <w:t>1.成交人须提供本地化开发服务，系统须具备良好的可扩展性与定制能力，实施过程中可根据医院实际业务场景进行功能调整与优化，不因功能调整产生额外开发费用。</w:t>
            </w:r>
          </w:p>
        </w:tc>
      </w:tr>
    </w:tbl>
    <w:p w14:paraId="07E437FB">
      <w:pPr>
        <w:rPr>
          <w:color w:val="000000" w:themeColor="text1"/>
          <w14:textFill>
            <w14:solidFill>
              <w14:schemeClr w14:val="tx1"/>
            </w14:solidFill>
          </w14:textFill>
        </w:rPr>
      </w:pPr>
    </w:p>
    <w:tbl>
      <w:tblPr>
        <w:tblStyle w:val="9"/>
        <w:tblW w:w="1280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1518"/>
      </w:tblGrid>
      <w:tr w14:paraId="781D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00" w:type="dxa"/>
            <w:gridSpan w:val="2"/>
          </w:tcPr>
          <w:p w14:paraId="77320E41">
            <w:pPr>
              <w:spacing w:line="400" w:lineRule="exact"/>
              <w:rPr>
                <w:rFonts w:ascii="Calibri" w:hAnsi="Calibri"/>
                <w:color w:val="auto"/>
                <w:szCs w:val="22"/>
              </w:rPr>
            </w:pPr>
            <w:r>
              <w:rPr>
                <w:rFonts w:ascii="Calibri" w:hAnsi="Calibri"/>
                <w:b/>
                <w:bCs/>
                <w:color w:val="auto"/>
                <w:szCs w:val="22"/>
              </w:rPr>
              <w:t>商务要求</w:t>
            </w:r>
          </w:p>
        </w:tc>
      </w:tr>
      <w:tr w14:paraId="18BF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82" w:type="dxa"/>
          </w:tcPr>
          <w:p w14:paraId="03DF404A">
            <w:pPr>
              <w:jc w:val="center"/>
              <w:rPr>
                <w:rFonts w:ascii="宋体" w:hAnsi="宋体" w:cs="宋体"/>
                <w:color w:val="auto"/>
                <w:szCs w:val="21"/>
              </w:rPr>
            </w:pPr>
            <w:r>
              <w:rPr>
                <w:rFonts w:hint="eastAsia" w:ascii="宋体" w:hAnsi="宋体" w:cs="宋体"/>
                <w:color w:val="auto"/>
                <w:szCs w:val="21"/>
              </w:rPr>
              <w:t>合同签订期</w:t>
            </w:r>
          </w:p>
        </w:tc>
        <w:tc>
          <w:tcPr>
            <w:tcW w:w="11518" w:type="dxa"/>
          </w:tcPr>
          <w:p w14:paraId="1C3F9BDA">
            <w:pPr>
              <w:jc w:val="left"/>
              <w:rPr>
                <w:rFonts w:ascii="宋体" w:hAnsi="宋体" w:cs="宋体"/>
                <w:color w:val="auto"/>
                <w:szCs w:val="21"/>
              </w:rPr>
            </w:pPr>
            <w:r>
              <w:rPr>
                <w:rFonts w:hint="eastAsia" w:ascii="宋体" w:hAnsi="宋体" w:cs="宋体"/>
                <w:color w:val="auto"/>
                <w:szCs w:val="21"/>
              </w:rPr>
              <w:t>自成交通知书发出之日起30日内。</w:t>
            </w:r>
          </w:p>
        </w:tc>
      </w:tr>
      <w:tr w14:paraId="451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14:paraId="2465BB65">
            <w:pPr>
              <w:jc w:val="center"/>
              <w:rPr>
                <w:rFonts w:ascii="宋体" w:hAnsi="宋体" w:cs="宋体"/>
                <w:color w:val="auto"/>
                <w:szCs w:val="21"/>
              </w:rPr>
            </w:pPr>
          </w:p>
          <w:p w14:paraId="1CE368F3">
            <w:pPr>
              <w:rPr>
                <w:rFonts w:ascii="宋体" w:hAnsi="宋体" w:cs="宋体"/>
                <w:color w:val="auto"/>
                <w:szCs w:val="21"/>
              </w:rPr>
            </w:pPr>
          </w:p>
          <w:p w14:paraId="0E3337F7">
            <w:pPr>
              <w:jc w:val="center"/>
              <w:rPr>
                <w:rFonts w:ascii="宋体" w:hAnsi="宋体" w:cs="宋体"/>
                <w:color w:val="auto"/>
                <w:szCs w:val="21"/>
              </w:rPr>
            </w:pPr>
            <w:r>
              <w:rPr>
                <w:rFonts w:ascii="宋体" w:hAnsi="宋体" w:cs="宋体"/>
                <w:color w:val="auto"/>
                <w:szCs w:val="21"/>
              </w:rPr>
              <w:t>报价要求</w:t>
            </w:r>
          </w:p>
          <w:p w14:paraId="3E646E1A">
            <w:pPr>
              <w:jc w:val="center"/>
              <w:rPr>
                <w:rFonts w:ascii="宋体" w:hAnsi="宋体" w:cs="宋体"/>
                <w:color w:val="auto"/>
                <w:szCs w:val="21"/>
              </w:rPr>
            </w:pPr>
          </w:p>
        </w:tc>
        <w:tc>
          <w:tcPr>
            <w:tcW w:w="11518" w:type="dxa"/>
          </w:tcPr>
          <w:p w14:paraId="14F4DE10">
            <w:pPr>
              <w:widowControl/>
              <w:jc w:val="left"/>
              <w:rPr>
                <w:rFonts w:ascii="宋体" w:hAnsi="宋体" w:cs="宋体"/>
                <w:color w:val="auto"/>
                <w:szCs w:val="21"/>
              </w:rPr>
            </w:pPr>
            <w:r>
              <w:rPr>
                <w:rFonts w:hint="eastAsia" w:ascii="宋体" w:hAnsi="宋体" w:cs="宋体"/>
                <w:color w:val="auto"/>
                <w:szCs w:val="21"/>
              </w:rPr>
              <w:t>本项目实行总承包报价，报价为采购人指定服务范围内的全部价格，至少包括：</w:t>
            </w:r>
          </w:p>
          <w:p w14:paraId="134E1545">
            <w:pPr>
              <w:widowControl/>
              <w:jc w:val="left"/>
              <w:rPr>
                <w:rFonts w:ascii="宋体" w:hAnsi="宋体" w:cs="宋体"/>
                <w:color w:val="auto"/>
                <w:szCs w:val="21"/>
              </w:rPr>
            </w:pPr>
            <w:r>
              <w:rPr>
                <w:rFonts w:hint="eastAsia" w:ascii="宋体" w:hAnsi="宋体" w:cs="宋体"/>
                <w:color w:val="auto"/>
                <w:szCs w:val="21"/>
              </w:rPr>
              <w:t>1.软件研发的价格；</w:t>
            </w:r>
          </w:p>
          <w:p w14:paraId="518595A3">
            <w:pPr>
              <w:widowControl/>
              <w:jc w:val="left"/>
              <w:rPr>
                <w:rFonts w:ascii="宋体" w:hAnsi="宋体" w:cs="宋体"/>
                <w:color w:val="auto"/>
                <w:szCs w:val="21"/>
              </w:rPr>
            </w:pPr>
            <w:r>
              <w:rPr>
                <w:rFonts w:hint="eastAsia" w:ascii="宋体" w:hAnsi="宋体" w:cs="宋体"/>
                <w:color w:val="auto"/>
                <w:szCs w:val="21"/>
              </w:rPr>
              <w:t>2.必要的保险费用和各项税金；</w:t>
            </w:r>
          </w:p>
          <w:p w14:paraId="2DA2D060">
            <w:pPr>
              <w:widowControl/>
              <w:jc w:val="left"/>
              <w:rPr>
                <w:rFonts w:ascii="宋体" w:hAnsi="宋体" w:eastAsia="宋体" w:cs="宋体"/>
                <w:color w:val="auto"/>
                <w:szCs w:val="21"/>
              </w:rPr>
            </w:pPr>
            <w:r>
              <w:rPr>
                <w:rFonts w:hint="eastAsia" w:ascii="宋体" w:hAnsi="宋体" w:cs="宋体"/>
                <w:color w:val="auto"/>
                <w:szCs w:val="21"/>
              </w:rPr>
              <w:t>3.接口费，软件与医院现有系统对接所需的全部费用由中标供应商承担。其中，若医院现有系统厂商收取接口开发费用由中标供应商承担。</w:t>
            </w:r>
          </w:p>
          <w:p w14:paraId="43AF1121">
            <w:pPr>
              <w:widowControl/>
              <w:jc w:val="left"/>
              <w:rPr>
                <w:rFonts w:ascii="宋体" w:hAnsi="宋体" w:cs="宋体"/>
                <w:color w:val="auto"/>
                <w:szCs w:val="21"/>
              </w:rPr>
            </w:pPr>
            <w:r>
              <w:rPr>
                <w:rFonts w:hint="eastAsia" w:ascii="宋体" w:hAnsi="宋体" w:cs="宋体"/>
                <w:color w:val="auto"/>
                <w:szCs w:val="21"/>
              </w:rPr>
              <w:t>4.其他：包括系统部署、安装调试、技术协助、培训、验收售后服务等各种费用或实际采购中有任何遗漏的费用（含本项目需要但本文件中未列出的功能配置费用），以及合同明示或暗示的所有责任、义务和一般风险所有成本费用的总和。在合同实施时，采购人将不予支付中标供应商没有列入的项目费用，并认为此项目的费用已包括在竞标总报价中。</w:t>
            </w:r>
          </w:p>
          <w:p w14:paraId="3D6B5B40">
            <w:pPr>
              <w:widowControl/>
              <w:jc w:val="left"/>
              <w:rPr>
                <w:rFonts w:ascii="宋体" w:hAnsi="宋体" w:cs="宋体"/>
                <w:color w:val="auto"/>
                <w:szCs w:val="21"/>
              </w:rPr>
            </w:pPr>
            <w:r>
              <w:rPr>
                <w:rFonts w:hint="eastAsia" w:ascii="宋体" w:hAnsi="宋体" w:cs="宋体"/>
                <w:color w:val="auto"/>
                <w:szCs w:val="21"/>
              </w:rPr>
              <w:t>5.中标供应商负责系统的研发，并在安装调试通过后直接交付运行。在保修期内，中标供应商须保证采购人能够合法应用该系统。在此过程中，采购人将提供一切必要支持。若可能出现的后续证件、手续，中标供应商必须提供办理的流程及方法。</w:t>
            </w:r>
          </w:p>
          <w:p w14:paraId="6FDF4915">
            <w:pPr>
              <w:widowControl/>
              <w:jc w:val="left"/>
              <w:rPr>
                <w:rFonts w:ascii="宋体" w:hAnsi="宋体" w:cs="宋体"/>
                <w:color w:val="auto"/>
                <w:szCs w:val="21"/>
              </w:rPr>
            </w:pPr>
            <w:r>
              <w:rPr>
                <w:rFonts w:hint="eastAsia" w:ascii="宋体" w:hAnsi="宋体" w:cs="宋体"/>
                <w:color w:val="auto"/>
                <w:szCs w:val="21"/>
              </w:rPr>
              <w:t>6.项目交付后，中标供应商不能因持续使用等任何理由对采购人收取额外费用。</w:t>
            </w:r>
          </w:p>
        </w:tc>
      </w:tr>
      <w:tr w14:paraId="484B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2" w:type="dxa"/>
            <w:vAlign w:val="center"/>
          </w:tcPr>
          <w:p w14:paraId="46E95C5D">
            <w:pPr>
              <w:snapToGrid w:val="0"/>
              <w:jc w:val="center"/>
              <w:rPr>
                <w:rFonts w:ascii="宋体" w:hAnsi="宋体" w:cs="宋体"/>
                <w:b/>
                <w:bCs/>
                <w:color w:val="auto"/>
                <w:szCs w:val="21"/>
              </w:rPr>
            </w:pPr>
            <w:r>
              <w:rPr>
                <w:rFonts w:hint="eastAsia" w:ascii="宋体" w:hAnsi="宋体"/>
                <w:color w:val="auto"/>
                <w:szCs w:val="21"/>
              </w:rPr>
              <w:t>交付使用时间及地点</w:t>
            </w:r>
          </w:p>
        </w:tc>
        <w:tc>
          <w:tcPr>
            <w:tcW w:w="11518" w:type="dxa"/>
            <w:vAlign w:val="center"/>
          </w:tcPr>
          <w:p w14:paraId="6ED43A0A">
            <w:pPr>
              <w:widowControl/>
              <w:jc w:val="left"/>
              <w:rPr>
                <w:rFonts w:ascii="宋体" w:hAnsi="宋体" w:cs="宋体"/>
                <w:color w:val="auto"/>
                <w:szCs w:val="21"/>
              </w:rPr>
            </w:pPr>
            <w:r>
              <w:rPr>
                <w:rFonts w:hint="eastAsia" w:ascii="宋体" w:hAnsi="宋体" w:cs="宋体"/>
                <w:color w:val="auto"/>
                <w:szCs w:val="21"/>
              </w:rPr>
              <w:t>1.自签订合同之日起，4个月内完成项目实施、通过验收并交付使用（2026年12月31日前）。项目分4个阶段：</w:t>
            </w:r>
          </w:p>
          <w:p w14:paraId="1101AE59">
            <w:pPr>
              <w:widowControl/>
              <w:jc w:val="left"/>
              <w:rPr>
                <w:rFonts w:ascii="宋体" w:hAnsi="宋体" w:cs="宋体"/>
                <w:color w:val="auto"/>
                <w:szCs w:val="21"/>
              </w:rPr>
            </w:pPr>
            <w:r>
              <w:rPr>
                <w:rFonts w:hint="eastAsia" w:ascii="宋体" w:hAnsi="宋体" w:cs="宋体"/>
                <w:color w:val="auto"/>
                <w:szCs w:val="21"/>
              </w:rPr>
              <w:t>(1)需求确认与系统设计（1个月内）：完成详细需求调研、系统环境部署、接口方案确认；</w:t>
            </w:r>
          </w:p>
          <w:p w14:paraId="18646D01">
            <w:pPr>
              <w:widowControl/>
              <w:jc w:val="left"/>
              <w:rPr>
                <w:rFonts w:ascii="宋体" w:hAnsi="宋体" w:cs="宋体"/>
                <w:color w:val="auto"/>
                <w:szCs w:val="21"/>
              </w:rPr>
            </w:pPr>
            <w:r>
              <w:rPr>
                <w:rFonts w:hint="eastAsia" w:ascii="宋体" w:hAnsi="宋体" w:cs="宋体"/>
                <w:color w:val="auto"/>
                <w:szCs w:val="21"/>
              </w:rPr>
              <w:t>(2)系统开发与测试（第2个月）：完成系统功能开发、内部测试、与医院现有系统联调、数据迁移测试；</w:t>
            </w:r>
          </w:p>
          <w:p w14:paraId="5F72F1C5">
            <w:pPr>
              <w:widowControl/>
              <w:jc w:val="left"/>
              <w:rPr>
                <w:rFonts w:ascii="宋体" w:hAnsi="宋体" w:cs="宋体"/>
                <w:color w:val="auto"/>
                <w:szCs w:val="21"/>
              </w:rPr>
            </w:pPr>
            <w:r>
              <w:rPr>
                <w:rFonts w:hint="eastAsia" w:ascii="宋体" w:hAnsi="宋体" w:cs="宋体"/>
                <w:color w:val="auto"/>
                <w:szCs w:val="21"/>
              </w:rPr>
              <w:t>(3)上线试运行与培训（第3个月）：完成系统上线、不少于10天的试运行、用户培训。</w:t>
            </w:r>
          </w:p>
          <w:p w14:paraId="616F1273">
            <w:pPr>
              <w:widowControl/>
              <w:jc w:val="left"/>
              <w:rPr>
                <w:rFonts w:hint="eastAsia" w:ascii="宋体" w:hAnsi="宋体" w:cs="宋体"/>
                <w:color w:val="auto"/>
                <w:szCs w:val="21"/>
              </w:rPr>
            </w:pPr>
            <w:r>
              <w:rPr>
                <w:rFonts w:hint="eastAsia" w:ascii="宋体" w:hAnsi="宋体" w:cs="宋体"/>
                <w:color w:val="auto"/>
                <w:szCs w:val="21"/>
              </w:rPr>
              <w:t>(4)全面推广与验收阶段（第4个月）:制定标准化操作手册，完成全院推广上线，进行项目整体验收，包括功能验收、性能测试、安全评估及文档交付。</w:t>
            </w:r>
          </w:p>
          <w:p w14:paraId="18F9046A">
            <w:pPr>
              <w:widowControl/>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.因供应商原因逾期交付的，每逾期1周（1周为7个自然日，不足1周按1周计），扣减合同总金额1%作为违约金；逾期超过4周的，采购人有权解除合同，供应商应按总金额10%支付违约金。</w:t>
            </w:r>
          </w:p>
          <w:p w14:paraId="7EFB303C">
            <w:pPr>
              <w:widowControl/>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.交付地点：广西南宁市广西壮族自治区江滨医院(采购人指定地点)。中标供应商负责在采购人指定地点完成系统安装调试，并通过验收合格才可交付采购人使用，中标供应商须承担由此产生的全部费用。</w:t>
            </w:r>
          </w:p>
        </w:tc>
      </w:tr>
      <w:tr w14:paraId="018F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433309BF">
            <w:pPr>
              <w:snapToGrid w:val="0"/>
              <w:jc w:val="center"/>
              <w:rPr>
                <w:rFonts w:ascii="宋体" w:hAnsi="宋体" w:cs="宋体"/>
                <w:bCs/>
                <w:color w:val="auto"/>
                <w:szCs w:val="21"/>
              </w:rPr>
            </w:pPr>
            <w:r>
              <w:rPr>
                <w:rFonts w:ascii="宋体" w:hAnsi="宋体" w:cs="宋体"/>
                <w:bCs/>
                <w:color w:val="auto"/>
                <w:szCs w:val="21"/>
              </w:rPr>
              <w:t>售后服务要求</w:t>
            </w:r>
          </w:p>
          <w:p w14:paraId="7F047EF6">
            <w:pPr>
              <w:snapToGrid w:val="0"/>
              <w:rPr>
                <w:rFonts w:ascii="宋体" w:hAnsi="宋体" w:cs="宋体"/>
                <w:color w:val="auto"/>
                <w:szCs w:val="21"/>
              </w:rPr>
            </w:pPr>
          </w:p>
        </w:tc>
        <w:tc>
          <w:tcPr>
            <w:tcW w:w="11518" w:type="dxa"/>
            <w:vAlign w:val="center"/>
          </w:tcPr>
          <w:p w14:paraId="697F9885">
            <w:pPr>
              <w:widowControl/>
              <w:jc w:val="left"/>
              <w:rPr>
                <w:rFonts w:ascii="宋体" w:hAnsi="宋体" w:cs="宋体"/>
                <w:color w:val="auto"/>
                <w:szCs w:val="21"/>
              </w:rPr>
            </w:pPr>
            <w:r>
              <w:rPr>
                <w:rFonts w:hint="eastAsia" w:ascii="宋体" w:hAnsi="宋体" w:cs="宋体"/>
                <w:color w:val="auto"/>
                <w:szCs w:val="21"/>
              </w:rPr>
              <w:t>1.质保期：不少于 2年，自项目最终验收合格之日起计算。</w:t>
            </w:r>
          </w:p>
          <w:p w14:paraId="122FAC1A">
            <w:pPr>
              <w:widowControl/>
              <w:jc w:val="left"/>
              <w:rPr>
                <w:rFonts w:ascii="宋体" w:hAnsi="宋体" w:cs="宋体"/>
                <w:color w:val="auto"/>
                <w:szCs w:val="21"/>
              </w:rPr>
            </w:pPr>
            <w:r>
              <w:rPr>
                <w:rFonts w:hint="eastAsia" w:ascii="宋体" w:hAnsi="宋体" w:cs="宋体"/>
                <w:color w:val="auto"/>
                <w:szCs w:val="21"/>
              </w:rPr>
              <w:t>2.质保期内须提供常设每周7天*24小时服务专线和长期的技术支持，售后服务须设专业人员提供远程服务。若远程维护无法解决的，须及时安排人员前往现场处理。</w:t>
            </w:r>
          </w:p>
          <w:p w14:paraId="2B304F2C">
            <w:pPr>
              <w:widowControl/>
              <w:jc w:val="left"/>
              <w:rPr>
                <w:rFonts w:ascii="宋体" w:hAnsi="宋体" w:cs="宋体"/>
                <w:color w:val="auto"/>
                <w:szCs w:val="21"/>
              </w:rPr>
            </w:pPr>
            <w:r>
              <w:rPr>
                <w:rFonts w:hint="eastAsia" w:ascii="宋体" w:hAnsi="宋体" w:cs="宋体"/>
                <w:color w:val="auto"/>
                <w:szCs w:val="21"/>
              </w:rPr>
              <w:t>3.故障响应：一般故障问题：30分钟内响应，6小时内提供解决方案，不影响主要业务的双方可协商解决问题的时间。重大故障问题：30分钟内响应，12小时内安排人员到达现场，24小时内解除重大故障问题。</w:t>
            </w:r>
          </w:p>
          <w:p w14:paraId="2C11FDFB">
            <w:pPr>
              <w:widowControl/>
              <w:jc w:val="left"/>
              <w:rPr>
                <w:rFonts w:ascii="宋体" w:hAnsi="宋体" w:cs="宋体"/>
                <w:color w:val="auto"/>
                <w:szCs w:val="21"/>
              </w:rPr>
            </w:pPr>
            <w:r>
              <w:rPr>
                <w:rFonts w:hint="eastAsia" w:ascii="宋体" w:hAnsi="宋体" w:cs="宋体"/>
                <w:color w:val="auto"/>
                <w:szCs w:val="21"/>
              </w:rPr>
              <w:t>4.巡检服务：质保期内每季度提供不少于 1次 定期巡检，并出具巡检报告。</w:t>
            </w:r>
          </w:p>
          <w:p w14:paraId="55572CED">
            <w:pPr>
              <w:widowControl/>
              <w:jc w:val="left"/>
              <w:rPr>
                <w:rFonts w:ascii="宋体" w:hAnsi="宋体" w:cs="宋体"/>
                <w:color w:val="auto"/>
                <w:szCs w:val="21"/>
              </w:rPr>
            </w:pPr>
            <w:r>
              <w:rPr>
                <w:rFonts w:hint="eastAsia" w:ascii="宋体" w:hAnsi="宋体" w:cs="宋体"/>
                <w:color w:val="auto"/>
                <w:szCs w:val="21"/>
              </w:rPr>
              <w:t>5.免费升级：质保期内免费提供系统版本升级服务。</w:t>
            </w:r>
          </w:p>
          <w:p w14:paraId="6AD0003E">
            <w:pPr>
              <w:widowControl/>
              <w:jc w:val="left"/>
              <w:rPr>
                <w:rFonts w:ascii="宋体" w:hAnsi="宋体" w:cs="宋体"/>
                <w:color w:val="auto"/>
                <w:szCs w:val="21"/>
              </w:rPr>
            </w:pPr>
            <w:r>
              <w:rPr>
                <w:rFonts w:hint="eastAsia" w:ascii="宋体" w:hAnsi="宋体" w:cs="宋体"/>
                <w:color w:val="auto"/>
                <w:szCs w:val="21"/>
              </w:rPr>
              <w:t>在质保期内，采购人提出的小范围系统调整需求（经双方评估不超过3人日工作量的），供应商须免费提供客户化修改，不收取额外费用。</w:t>
            </w:r>
          </w:p>
        </w:tc>
      </w:tr>
      <w:tr w14:paraId="6ECC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82" w:type="dxa"/>
            <w:vAlign w:val="center"/>
          </w:tcPr>
          <w:p w14:paraId="34EC200D">
            <w:pPr>
              <w:snapToGrid w:val="0"/>
              <w:jc w:val="center"/>
              <w:rPr>
                <w:rFonts w:ascii="宋体" w:hAnsi="宋体" w:cs="宋体"/>
                <w:color w:val="auto"/>
                <w:szCs w:val="21"/>
              </w:rPr>
            </w:pPr>
            <w:r>
              <w:rPr>
                <w:rFonts w:hint="eastAsia" w:ascii="宋体" w:hAnsi="宋体" w:cs="宋体"/>
                <w:bCs/>
                <w:color w:val="auto"/>
                <w:szCs w:val="21"/>
              </w:rPr>
              <w:t>质量、安装及验收标准要求</w:t>
            </w:r>
          </w:p>
        </w:tc>
        <w:tc>
          <w:tcPr>
            <w:tcW w:w="11518" w:type="dxa"/>
            <w:vAlign w:val="center"/>
          </w:tcPr>
          <w:p w14:paraId="3950F619">
            <w:pPr>
              <w:widowControl/>
              <w:jc w:val="left"/>
              <w:rPr>
                <w:rFonts w:ascii="宋体" w:hAnsi="宋体" w:cs="宋体"/>
                <w:color w:val="auto"/>
                <w:szCs w:val="21"/>
              </w:rPr>
            </w:pPr>
            <w:r>
              <w:rPr>
                <w:rFonts w:hint="eastAsia" w:ascii="宋体" w:hAnsi="宋体" w:cs="宋体"/>
                <w:color w:val="auto"/>
                <w:szCs w:val="21"/>
              </w:rPr>
              <w:t>1.系统功能、性能及指标应符合或优于国家及采购相关技术、质量、安全标准。</w:t>
            </w:r>
          </w:p>
          <w:p w14:paraId="4368CDF4">
            <w:pPr>
              <w:widowControl/>
              <w:jc w:val="left"/>
              <w:rPr>
                <w:rFonts w:ascii="宋体" w:hAnsi="宋体" w:cs="宋体"/>
                <w:color w:val="auto"/>
                <w:szCs w:val="21"/>
              </w:rPr>
            </w:pPr>
            <w:r>
              <w:rPr>
                <w:rFonts w:hint="eastAsia" w:ascii="宋体" w:hAnsi="宋体" w:cs="宋体"/>
                <w:color w:val="auto"/>
                <w:szCs w:val="21"/>
              </w:rPr>
              <w:t>2.供应商须在项目实施启动阶段提交详细的项目实施时间计划表（含工作分解结构WBS），并提供完备的技术资料，派遣专业人员现场安装调试。</w:t>
            </w:r>
          </w:p>
          <w:p w14:paraId="4B1C8DD6">
            <w:pPr>
              <w:jc w:val="left"/>
              <w:rPr>
                <w:rFonts w:ascii="宋体" w:hAnsi="宋体" w:cs="宋体"/>
                <w:color w:val="auto"/>
                <w:szCs w:val="21"/>
              </w:rPr>
            </w:pPr>
            <w:r>
              <w:rPr>
                <w:rFonts w:hint="eastAsia" w:ascii="宋体" w:hAnsi="宋体" w:cs="宋体"/>
                <w:color w:val="auto"/>
                <w:szCs w:val="21"/>
              </w:rPr>
              <w:t>3.阶段性交付审核：完成需求调研、概要设计、详细设计、系统开发、集成测试等关键节点后，须经院方书面确认方可进入下一阶段。</w:t>
            </w:r>
          </w:p>
          <w:p w14:paraId="77BF18BF">
            <w:pPr>
              <w:widowControl/>
              <w:jc w:val="left"/>
              <w:rPr>
                <w:rFonts w:ascii="宋体" w:hAnsi="宋体" w:cs="宋体"/>
                <w:color w:val="auto"/>
                <w:szCs w:val="21"/>
              </w:rPr>
            </w:pPr>
            <w:r>
              <w:rPr>
                <w:rFonts w:hint="eastAsia" w:ascii="宋体" w:hAnsi="宋体" w:cs="宋体"/>
                <w:color w:val="auto"/>
                <w:szCs w:val="21"/>
              </w:rPr>
              <w:t>3.项目完成后，由供应商提出验收申请。采购人在收到申请后10个工作日内组织验收，验收费用由供应商承担。</w:t>
            </w:r>
          </w:p>
          <w:p w14:paraId="2F337B77">
            <w:pPr>
              <w:widowControl/>
              <w:jc w:val="left"/>
              <w:rPr>
                <w:rFonts w:ascii="宋体" w:hAnsi="宋体" w:cs="宋体"/>
                <w:color w:val="auto"/>
                <w:szCs w:val="21"/>
              </w:rPr>
            </w:pPr>
            <w:r>
              <w:rPr>
                <w:rFonts w:hint="eastAsia" w:ascii="宋体" w:hAnsi="宋体" w:cs="宋体"/>
                <w:color w:val="auto"/>
                <w:szCs w:val="21"/>
              </w:rPr>
              <w:t>4.测试要求：</w:t>
            </w:r>
          </w:p>
          <w:p w14:paraId="2B289A87">
            <w:pPr>
              <w:widowControl/>
              <w:numPr>
                <w:ilvl w:val="0"/>
                <w:numId w:val="46"/>
              </w:numPr>
              <w:jc w:val="left"/>
              <w:rPr>
                <w:rFonts w:ascii="宋体" w:hAnsi="宋体" w:cs="宋体"/>
                <w:color w:val="auto"/>
                <w:szCs w:val="21"/>
              </w:rPr>
            </w:pPr>
            <w:r>
              <w:rPr>
                <w:rFonts w:hint="eastAsia" w:ascii="宋体" w:hAnsi="宋体" w:cs="宋体"/>
                <w:color w:val="auto"/>
                <w:szCs w:val="21"/>
              </w:rPr>
              <w:t>功能测试：功能覆盖率100%，测试用例通过率100%；</w:t>
            </w:r>
          </w:p>
          <w:p w14:paraId="3313B533">
            <w:pPr>
              <w:widowControl/>
              <w:numPr>
                <w:ilvl w:val="0"/>
                <w:numId w:val="46"/>
              </w:numPr>
              <w:jc w:val="left"/>
              <w:rPr>
                <w:rFonts w:ascii="宋体" w:hAnsi="宋体" w:cs="宋体"/>
                <w:color w:val="auto"/>
                <w:szCs w:val="21"/>
              </w:rPr>
            </w:pPr>
            <w:r>
              <w:rPr>
                <w:rFonts w:hint="eastAsia" w:ascii="宋体" w:hAnsi="宋体" w:cs="宋体"/>
                <w:color w:val="auto"/>
                <w:szCs w:val="21"/>
              </w:rPr>
              <w:t>性能测试：通过压力测试，各项指标（响应时间、并发数、吞吐量等）须达到本文件3.3条款要求；</w:t>
            </w:r>
          </w:p>
          <w:p w14:paraId="467A3407">
            <w:pPr>
              <w:widowControl/>
              <w:numPr>
                <w:ilvl w:val="0"/>
                <w:numId w:val="46"/>
              </w:numPr>
              <w:jc w:val="left"/>
              <w:rPr>
                <w:rFonts w:ascii="宋体" w:hAnsi="宋体" w:cs="宋体"/>
                <w:color w:val="auto"/>
                <w:szCs w:val="21"/>
              </w:rPr>
            </w:pPr>
            <w:r>
              <w:rPr>
                <w:rFonts w:hint="eastAsia" w:ascii="宋体" w:hAnsi="宋体" w:cs="宋体"/>
                <w:color w:val="auto"/>
                <w:szCs w:val="21"/>
              </w:rPr>
              <w:t>安全测评：通过第三方权威机构的安全等级保护测评（至少达到网络安全等级保护</w:t>
            </w:r>
            <w:r>
              <w:rPr>
                <w:rStyle w:val="11"/>
                <w:rFonts w:hint="default"/>
                <w:color w:val="auto"/>
                <w:sz w:val="21"/>
                <w:szCs w:val="21"/>
              </w:rPr>
              <w:t>二级</w:t>
            </w:r>
            <w:r>
              <w:rPr>
                <w:rFonts w:hint="eastAsia" w:ascii="宋体" w:hAnsi="宋体" w:cs="宋体"/>
                <w:color w:val="auto"/>
                <w:szCs w:val="21"/>
              </w:rPr>
              <w:t>要求）及漏洞扫描，无高危及以上安全漏洞。</w:t>
            </w:r>
          </w:p>
          <w:p w14:paraId="3CCA24F3">
            <w:pPr>
              <w:widowControl/>
              <w:jc w:val="left"/>
              <w:rPr>
                <w:rFonts w:ascii="宋体" w:hAnsi="宋体" w:cs="宋体"/>
                <w:color w:val="auto"/>
                <w:szCs w:val="21"/>
              </w:rPr>
            </w:pPr>
            <w:r>
              <w:rPr>
                <w:rFonts w:hint="eastAsia" w:ascii="宋体" w:hAnsi="宋体" w:cs="宋体"/>
                <w:color w:val="auto"/>
                <w:szCs w:val="21"/>
              </w:rPr>
              <w:t>5.验收小组以项目采购文件及采购合同为验收依据，逐条核对。验收时成交供应商需提供验收文档，包括但不限于：软件系统技术资料、使用操作说明，以及对所有需要进行核查的原件等。验收时发现的问题，供应商的技术人员做好记录并由验收小组成员签字确认。经双方确认无误后，验收小组成员在验收报告签字、双方盖上公章，作为验收凭证，存档备案。</w:t>
            </w:r>
          </w:p>
          <w:p w14:paraId="7CD7FE4E">
            <w:pPr>
              <w:widowControl/>
              <w:jc w:val="left"/>
              <w:rPr>
                <w:rFonts w:ascii="宋体" w:hAnsi="宋体" w:cs="宋体"/>
                <w:color w:val="auto"/>
                <w:szCs w:val="21"/>
              </w:rPr>
            </w:pPr>
            <w:r>
              <w:rPr>
                <w:rFonts w:hint="eastAsia" w:ascii="宋体" w:hAnsi="宋体" w:cs="宋体"/>
                <w:color w:val="auto"/>
                <w:szCs w:val="21"/>
              </w:rPr>
              <w:t>6.不予验收情形：</w:t>
            </w:r>
          </w:p>
          <w:p w14:paraId="302379DE">
            <w:pPr>
              <w:widowControl/>
              <w:jc w:val="left"/>
              <w:rPr>
                <w:rFonts w:ascii="宋体" w:hAnsi="宋体" w:cs="宋体"/>
                <w:color w:val="auto"/>
                <w:szCs w:val="21"/>
              </w:rPr>
            </w:pPr>
            <w:r>
              <w:rPr>
                <w:rFonts w:hint="eastAsia" w:ascii="宋体" w:hAnsi="宋体" w:cs="宋体"/>
                <w:color w:val="auto"/>
                <w:szCs w:val="21"/>
              </w:rPr>
              <w:t>(1)系统不符合采购文件要求的；</w:t>
            </w:r>
          </w:p>
          <w:p w14:paraId="0B6D2DF7">
            <w:pPr>
              <w:widowControl/>
              <w:jc w:val="left"/>
              <w:rPr>
                <w:rFonts w:ascii="宋体" w:hAnsi="宋体" w:cs="宋体"/>
                <w:color w:val="auto"/>
                <w:szCs w:val="21"/>
              </w:rPr>
            </w:pPr>
            <w:r>
              <w:rPr>
                <w:rFonts w:hint="eastAsia" w:ascii="宋体" w:hAnsi="宋体" w:cs="宋体"/>
                <w:color w:val="auto"/>
                <w:szCs w:val="21"/>
              </w:rPr>
              <w:t>(2)验收时出现一项不符合采购文件响应条款或经查实有虚假应标、提供虚假材料情形的；</w:t>
            </w:r>
          </w:p>
          <w:p w14:paraId="1B906BBD">
            <w:pPr>
              <w:widowControl/>
              <w:jc w:val="left"/>
              <w:rPr>
                <w:rFonts w:ascii="宋体" w:hAnsi="宋体" w:cs="宋体"/>
                <w:color w:val="auto"/>
                <w:szCs w:val="21"/>
              </w:rPr>
            </w:pPr>
            <w:r>
              <w:rPr>
                <w:rFonts w:hint="eastAsia" w:ascii="宋体" w:hAnsi="宋体" w:cs="宋体"/>
                <w:color w:val="auto"/>
                <w:szCs w:val="21"/>
              </w:rPr>
              <w:t>(3)系统不合格或不符合技术参数要求，成交供应商不按要求整改或拒不整改的；</w:t>
            </w:r>
          </w:p>
          <w:p w14:paraId="292DD97F">
            <w:pPr>
              <w:widowControl/>
              <w:jc w:val="left"/>
              <w:rPr>
                <w:rFonts w:ascii="宋体" w:hAnsi="宋体" w:cs="宋体"/>
                <w:color w:val="auto"/>
                <w:szCs w:val="21"/>
              </w:rPr>
            </w:pPr>
            <w:r>
              <w:rPr>
                <w:rFonts w:hint="eastAsia" w:ascii="宋体" w:hAnsi="宋体" w:cs="宋体"/>
                <w:color w:val="auto"/>
                <w:szCs w:val="21"/>
              </w:rPr>
              <w:t>(4)验收不合格的返工、再行验收产生的费用由供应商承担；连续两次项目验收不合格的，采购人有权不予验收，并解除合同。</w:t>
            </w:r>
          </w:p>
          <w:p w14:paraId="3F367676">
            <w:pPr>
              <w:widowControl/>
              <w:jc w:val="left"/>
              <w:rPr>
                <w:rFonts w:ascii="宋体" w:hAnsi="宋体" w:cs="宋体"/>
                <w:color w:val="auto"/>
                <w:szCs w:val="21"/>
              </w:rPr>
            </w:pPr>
            <w:r>
              <w:rPr>
                <w:rFonts w:hint="eastAsia" w:ascii="宋体" w:hAnsi="宋体" w:cs="宋体"/>
                <w:color w:val="auto"/>
                <w:szCs w:val="21"/>
              </w:rPr>
              <w:t>7.验收合格日期以最后验收完成交接为准，因供应商原因造成不能按时完成验收，由此产生的一切责任由供应商承担。</w:t>
            </w:r>
          </w:p>
        </w:tc>
      </w:tr>
      <w:tr w14:paraId="4EA9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282" w:type="dxa"/>
            <w:vAlign w:val="center"/>
          </w:tcPr>
          <w:p w14:paraId="7A563E6E">
            <w:pPr>
              <w:jc w:val="center"/>
              <w:rPr>
                <w:rFonts w:ascii="宋体" w:hAnsi="宋体" w:cs="宋体"/>
                <w:color w:val="auto"/>
                <w:szCs w:val="21"/>
              </w:rPr>
            </w:pPr>
            <w:r>
              <w:rPr>
                <w:rFonts w:hint="eastAsia" w:ascii="宋体" w:hAnsi="宋体" w:cs="宋体"/>
                <w:color w:val="auto"/>
                <w:szCs w:val="21"/>
              </w:rPr>
              <w:t>权利保证</w:t>
            </w:r>
          </w:p>
        </w:tc>
        <w:tc>
          <w:tcPr>
            <w:tcW w:w="11518" w:type="dxa"/>
            <w:vAlign w:val="center"/>
          </w:tcPr>
          <w:p w14:paraId="607C506A">
            <w:pPr>
              <w:widowControl/>
              <w:jc w:val="left"/>
              <w:textAlignment w:val="top"/>
              <w:rPr>
                <w:rFonts w:ascii="宋体" w:hAnsi="宋体" w:cs="宋体"/>
                <w:color w:val="auto"/>
                <w:szCs w:val="21"/>
              </w:rPr>
            </w:pPr>
            <w:r>
              <w:rPr>
                <w:rFonts w:hint="eastAsia" w:ascii="宋体" w:hAnsi="宋体" w:cs="宋体"/>
                <w:color w:val="auto"/>
                <w:szCs w:val="21"/>
              </w:rPr>
              <w:t>1.中标供应商应保证给采购人研发系统的任何部分非他人所有或与他人共有，未设有抵押权、租赁权，未侵犯他人的专利权、版权、商标权等知识产权，一旦出现侵权，中标供应商应承担全部责任。</w:t>
            </w:r>
          </w:p>
          <w:p w14:paraId="156128ED">
            <w:pPr>
              <w:widowControl/>
              <w:jc w:val="left"/>
              <w:textAlignment w:val="top"/>
              <w:rPr>
                <w:rFonts w:ascii="宋体" w:hAnsi="宋体" w:cs="宋体"/>
                <w:color w:val="auto"/>
                <w:szCs w:val="21"/>
              </w:rPr>
            </w:pPr>
            <w:r>
              <w:rPr>
                <w:rFonts w:hint="eastAsia" w:ascii="宋体" w:hAnsi="宋体" w:cs="宋体"/>
                <w:color w:val="auto"/>
                <w:szCs w:val="21"/>
              </w:rPr>
              <w:t>2.知识产权与交付物</w:t>
            </w:r>
          </w:p>
          <w:p w14:paraId="792DB1BD">
            <w:pPr>
              <w:widowControl/>
              <w:numPr>
                <w:ilvl w:val="0"/>
                <w:numId w:val="47"/>
              </w:numPr>
              <w:jc w:val="left"/>
              <w:textAlignment w:val="top"/>
              <w:rPr>
                <w:rFonts w:ascii="宋体" w:hAnsi="宋体" w:cs="宋体"/>
                <w:color w:val="auto"/>
                <w:szCs w:val="21"/>
              </w:rPr>
            </w:pPr>
            <w:r>
              <w:rPr>
                <w:rFonts w:hint="eastAsia" w:ascii="宋体" w:hAnsi="宋体" w:cs="宋体"/>
                <w:color w:val="auto"/>
                <w:szCs w:val="21"/>
              </w:rPr>
              <w:t>知识产权归属：乙方为本项目定制开发产生的所有成果（包括但不限于源代码、用户手册、技术文档、设计文档、数据库设计说明）的知识产权，自该成果产生之日起，即归属于甲方（医院）所有。乙方应在项目最终验收时交付全部源代码及相关文档。</w:t>
            </w:r>
          </w:p>
          <w:p w14:paraId="21135FE1">
            <w:pPr>
              <w:widowControl/>
              <w:numPr>
                <w:ilvl w:val="0"/>
                <w:numId w:val="47"/>
              </w:numPr>
              <w:jc w:val="left"/>
              <w:textAlignment w:val="top"/>
              <w:rPr>
                <w:rFonts w:ascii="宋体" w:hAnsi="宋体" w:cs="宋体"/>
                <w:color w:val="auto"/>
                <w:szCs w:val="21"/>
              </w:rPr>
            </w:pPr>
            <w:r>
              <w:rPr>
                <w:rFonts w:hint="eastAsia" w:ascii="宋体" w:hAnsi="宋体" w:cs="宋体"/>
                <w:color w:val="auto"/>
                <w:szCs w:val="21"/>
              </w:rPr>
              <w:t>必需交付物：乙方在项目各阶段需交付但不限于以下成果：《详细设计说明书》（含接口规范）、《系统部署手册》、《系统管理员手册》、《用户操作手册》、完整的可编译的源代码、数据库设计说明。</w:t>
            </w:r>
          </w:p>
          <w:p w14:paraId="1BF05C50">
            <w:pPr>
              <w:widowControl/>
              <w:numPr>
                <w:ilvl w:val="0"/>
                <w:numId w:val="47"/>
              </w:numPr>
              <w:jc w:val="left"/>
              <w:textAlignment w:val="top"/>
              <w:rPr>
                <w:rFonts w:ascii="宋体" w:hAnsi="宋体" w:cs="宋体"/>
                <w:color w:val="auto"/>
                <w:szCs w:val="21"/>
              </w:rPr>
            </w:pPr>
            <w:r>
              <w:rPr>
                <w:rFonts w:hint="eastAsia" w:ascii="宋体" w:hAnsi="宋体" w:cs="宋体"/>
                <w:color w:val="auto"/>
                <w:szCs w:val="21"/>
              </w:rPr>
              <w:t>知识产权声明：供应商必须提供所投软件产品的完全自主知识产权证明或合法授权证明。如涉及使用第三方开源软件或商业组件，必须在投标文件中完整列出并说明授权模式及版本。如因供应商提供的产品侵犯任何第三方知识产权，供应商应负责处理相关纠纷并承担由此产生的全部法律责任。</w:t>
            </w:r>
          </w:p>
          <w:p w14:paraId="0FA0B503">
            <w:pPr>
              <w:widowControl/>
              <w:numPr>
                <w:ilvl w:val="0"/>
                <w:numId w:val="47"/>
              </w:numPr>
              <w:jc w:val="left"/>
              <w:textAlignment w:val="top"/>
              <w:rPr>
                <w:rFonts w:ascii="宋体" w:hAnsi="宋体" w:cs="宋体"/>
                <w:color w:val="auto"/>
                <w:szCs w:val="21"/>
              </w:rPr>
            </w:pPr>
            <w:r>
              <w:rPr>
                <w:rFonts w:hint="eastAsia" w:ascii="宋体" w:hAnsi="宋体" w:cs="宋体"/>
                <w:color w:val="auto"/>
                <w:szCs w:val="21"/>
              </w:rPr>
              <w:t>软件著作权申请协助：项目研发完成并最终验收后，乙方须协助甲方申请与本项目成果相关子系统的软件著作权，著作权人仅为甲方。协助内容包括：提供申请所需的全部技术材料（包括但不限于源代码、用户手册、技术文档、设计文档等），并根据甲方或甲方委托的代理机构要求，配合完成申报申请和申报材料的修改、补正及流程跟进。相关协助工作应在甲方提出申请需求后的5个工作日内启动。</w:t>
            </w:r>
          </w:p>
          <w:p w14:paraId="693A947B">
            <w:pPr>
              <w:widowControl/>
              <w:numPr>
                <w:ilvl w:val="0"/>
                <w:numId w:val="47"/>
              </w:numPr>
              <w:jc w:val="left"/>
              <w:textAlignment w:val="top"/>
              <w:rPr>
                <w:rFonts w:ascii="宋体" w:hAnsi="宋体" w:cs="宋体"/>
                <w:color w:val="auto"/>
                <w:szCs w:val="21"/>
              </w:rPr>
            </w:pPr>
            <w:r>
              <w:rPr>
                <w:rFonts w:hint="eastAsia" w:ascii="宋体" w:hAnsi="宋体" w:cs="宋体"/>
                <w:color w:val="auto"/>
                <w:szCs w:val="21"/>
              </w:rPr>
              <w:t>甲方拥有本项目实施过程中产生及交付的所有技术成果的绝对所有权、永久使用权及开发权。</w:t>
            </w:r>
          </w:p>
          <w:p w14:paraId="6D6E066C">
            <w:pPr>
              <w:widowControl/>
              <w:numPr>
                <w:ilvl w:val="0"/>
                <w:numId w:val="47"/>
              </w:numPr>
              <w:jc w:val="left"/>
              <w:textAlignment w:val="top"/>
              <w:rPr>
                <w:rFonts w:ascii="宋体" w:hAnsi="宋体" w:cs="宋体"/>
                <w:color w:val="auto"/>
                <w:szCs w:val="21"/>
              </w:rPr>
            </w:pPr>
            <w:r>
              <w:rPr>
                <w:rFonts w:hint="eastAsia" w:ascii="宋体" w:hAnsi="宋体" w:cs="宋体"/>
                <w:color w:val="auto"/>
                <w:szCs w:val="21"/>
              </w:rPr>
              <w:t>供应商不得以任何理由（包括但不限于业务扩展、用户数增加、模块新增等）对医院的使用权限进行限制或收取额外费用。</w:t>
            </w:r>
          </w:p>
        </w:tc>
      </w:tr>
      <w:tr w14:paraId="1B1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282" w:type="dxa"/>
            <w:vAlign w:val="center"/>
          </w:tcPr>
          <w:p w14:paraId="1C92AD86">
            <w:pPr>
              <w:jc w:val="center"/>
              <w:rPr>
                <w:rFonts w:ascii="宋体" w:hAnsi="宋体" w:cs="宋体"/>
                <w:color w:val="auto"/>
                <w:szCs w:val="21"/>
              </w:rPr>
            </w:pPr>
            <w:r>
              <w:rPr>
                <w:rFonts w:hint="eastAsia" w:ascii="宋体" w:hAnsi="宋体" w:cs="宋体"/>
                <w:bCs/>
                <w:color w:val="auto"/>
                <w:szCs w:val="21"/>
              </w:rPr>
              <w:t>付款方式</w:t>
            </w:r>
          </w:p>
        </w:tc>
        <w:tc>
          <w:tcPr>
            <w:tcW w:w="11518" w:type="dxa"/>
            <w:vAlign w:val="center"/>
          </w:tcPr>
          <w:p w14:paraId="0DB12B08">
            <w:pPr>
              <w:widowControl/>
              <w:jc w:val="left"/>
              <w:rPr>
                <w:rFonts w:ascii="宋体" w:hAnsi="宋体" w:cs="宋体"/>
                <w:color w:val="auto"/>
                <w:szCs w:val="21"/>
              </w:rPr>
            </w:pPr>
            <w:r>
              <w:rPr>
                <w:rFonts w:hint="eastAsia" w:ascii="宋体" w:hAnsi="宋体" w:cs="宋体"/>
                <w:color w:val="auto"/>
                <w:szCs w:val="21"/>
              </w:rPr>
              <w:t>1.付款节点：</w:t>
            </w:r>
          </w:p>
          <w:p w14:paraId="431DC343">
            <w:pPr>
              <w:widowControl/>
              <w:jc w:val="left"/>
              <w:rPr>
                <w:rFonts w:ascii="宋体" w:hAnsi="宋体" w:cs="宋体"/>
                <w:color w:val="auto"/>
                <w:szCs w:val="21"/>
              </w:rPr>
            </w:pPr>
            <w:r>
              <w:rPr>
                <w:rFonts w:hint="eastAsia" w:ascii="宋体" w:hAnsi="宋体" w:cs="宋体"/>
                <w:color w:val="auto"/>
                <w:szCs w:val="21"/>
              </w:rPr>
              <w:t>(1)项目进展到第二阶段，系统开发与测试阶段支付 50%。</w:t>
            </w:r>
          </w:p>
          <w:p w14:paraId="3F57848D">
            <w:pPr>
              <w:widowControl/>
              <w:jc w:val="left"/>
              <w:rPr>
                <w:rFonts w:ascii="宋体" w:hAnsi="宋体" w:cs="宋体"/>
                <w:color w:val="auto"/>
                <w:szCs w:val="21"/>
              </w:rPr>
            </w:pPr>
            <w:r>
              <w:rPr>
                <w:rFonts w:hint="eastAsia" w:ascii="宋体" w:hAnsi="宋体" w:cs="宋体"/>
                <w:color w:val="auto"/>
                <w:szCs w:val="21"/>
              </w:rPr>
              <w:t>(2)项目验收合格后支付 45%。</w:t>
            </w:r>
          </w:p>
          <w:p w14:paraId="3BA42AA6">
            <w:pPr>
              <w:widowControl/>
              <w:jc w:val="left"/>
              <w:rPr>
                <w:rFonts w:ascii="宋体" w:hAnsi="宋体" w:cs="宋体"/>
                <w:color w:val="auto"/>
                <w:szCs w:val="21"/>
              </w:rPr>
            </w:pPr>
            <w:r>
              <w:rPr>
                <w:rFonts w:hint="eastAsia" w:ascii="宋体" w:hAnsi="宋体" w:cs="宋体"/>
                <w:color w:val="auto"/>
                <w:szCs w:val="21"/>
              </w:rPr>
              <w:t>(3)质保期满后支付 5%。</w:t>
            </w:r>
          </w:p>
        </w:tc>
      </w:tr>
      <w:tr w14:paraId="494F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2" w:type="dxa"/>
            <w:vAlign w:val="center"/>
          </w:tcPr>
          <w:p w14:paraId="131290B0">
            <w:pPr>
              <w:jc w:val="center"/>
              <w:rPr>
                <w:rFonts w:ascii="宋体" w:hAnsi="宋体" w:cs="宋体"/>
                <w:color w:val="auto"/>
                <w:szCs w:val="21"/>
              </w:rPr>
            </w:pPr>
            <w:r>
              <w:rPr>
                <w:rFonts w:hint="eastAsia" w:ascii="宋体" w:hAnsi="宋体" w:cs="宋体"/>
                <w:bCs/>
                <w:color w:val="auto"/>
                <w:szCs w:val="21"/>
              </w:rPr>
              <w:t>质量要求</w:t>
            </w:r>
          </w:p>
        </w:tc>
        <w:tc>
          <w:tcPr>
            <w:tcW w:w="11518" w:type="dxa"/>
            <w:vAlign w:val="center"/>
          </w:tcPr>
          <w:p w14:paraId="66C4E321">
            <w:pPr>
              <w:widowControl/>
              <w:jc w:val="left"/>
              <w:rPr>
                <w:rFonts w:ascii="宋体" w:hAnsi="宋体" w:cs="宋体"/>
                <w:color w:val="auto"/>
                <w:szCs w:val="21"/>
              </w:rPr>
            </w:pPr>
            <w:r>
              <w:rPr>
                <w:rFonts w:hint="eastAsia" w:ascii="宋体" w:hAnsi="宋体" w:cs="宋体"/>
                <w:color w:val="auto"/>
                <w:szCs w:val="21"/>
              </w:rPr>
              <w:t>1.质量达到国家验收合格标准。</w:t>
            </w:r>
          </w:p>
          <w:p w14:paraId="64EABAE7">
            <w:pPr>
              <w:widowControl/>
              <w:jc w:val="left"/>
              <w:rPr>
                <w:rFonts w:ascii="宋体" w:hAnsi="宋体" w:cs="宋体"/>
                <w:color w:val="auto"/>
                <w:szCs w:val="21"/>
              </w:rPr>
            </w:pPr>
            <w:r>
              <w:rPr>
                <w:rFonts w:hint="eastAsia" w:ascii="宋体" w:hAnsi="宋体" w:cs="宋体"/>
                <w:color w:val="auto"/>
                <w:szCs w:val="21"/>
              </w:rPr>
              <w:t>2.供应商所提供的服务、技术参数等质量必须与响应文件和承诺相一致。</w:t>
            </w:r>
          </w:p>
        </w:tc>
      </w:tr>
      <w:tr w14:paraId="3322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282" w:type="dxa"/>
            <w:vAlign w:val="center"/>
          </w:tcPr>
          <w:p w14:paraId="5971A664">
            <w:pPr>
              <w:jc w:val="center"/>
              <w:rPr>
                <w:rFonts w:ascii="宋体" w:hAnsi="宋体" w:cs="宋体"/>
                <w:color w:val="auto"/>
                <w:szCs w:val="21"/>
              </w:rPr>
            </w:pPr>
            <w:r>
              <w:rPr>
                <w:rFonts w:hint="eastAsia" w:ascii="宋体" w:hAnsi="宋体" w:cs="宋体"/>
                <w:color w:val="auto"/>
                <w:szCs w:val="21"/>
              </w:rPr>
              <w:t>保密和廉洁要求</w:t>
            </w:r>
          </w:p>
        </w:tc>
        <w:tc>
          <w:tcPr>
            <w:tcW w:w="11518" w:type="dxa"/>
            <w:vAlign w:val="center"/>
          </w:tcPr>
          <w:p w14:paraId="285CACF0">
            <w:pPr>
              <w:widowControl/>
              <w:jc w:val="left"/>
              <w:rPr>
                <w:rFonts w:ascii="宋体" w:hAnsi="宋体" w:cs="宋体"/>
                <w:color w:val="auto"/>
                <w:szCs w:val="21"/>
              </w:rPr>
            </w:pPr>
            <w:r>
              <w:rPr>
                <w:rFonts w:hint="eastAsia" w:ascii="宋体" w:hAnsi="宋体" w:cs="宋体"/>
                <w:color w:val="auto"/>
                <w:szCs w:val="21"/>
              </w:rPr>
              <w:t>中标供应商应遵守《国家保密法》,严格执行保密制度，必须如约承担合同履行时所应该尽的一切保密、廉洁义务。中标供应商对项目实施过程中的资料、数据进行保密，未经采购人书面同意不得泄露，且保密责任不因合同的中止或解除而失效，否则，需承担相应的法律责任。</w:t>
            </w:r>
          </w:p>
        </w:tc>
      </w:tr>
      <w:tr w14:paraId="2C89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282" w:type="dxa"/>
            <w:vAlign w:val="center"/>
          </w:tcPr>
          <w:p w14:paraId="719BF183">
            <w:pPr>
              <w:jc w:val="center"/>
              <w:rPr>
                <w:rFonts w:ascii="宋体" w:hAnsi="宋体" w:cs="宋体"/>
                <w:color w:val="auto"/>
                <w:szCs w:val="21"/>
              </w:rPr>
            </w:pPr>
            <w:r>
              <w:rPr>
                <w:rFonts w:hint="eastAsia" w:ascii="宋体" w:hAnsi="宋体" w:cs="宋体"/>
                <w:color w:val="auto"/>
                <w:szCs w:val="21"/>
              </w:rPr>
              <w:t>其他要求</w:t>
            </w:r>
          </w:p>
        </w:tc>
        <w:tc>
          <w:tcPr>
            <w:tcW w:w="11518" w:type="dxa"/>
            <w:vAlign w:val="center"/>
          </w:tcPr>
          <w:p w14:paraId="5E1AC264">
            <w:pPr>
              <w:widowControl/>
              <w:numPr>
                <w:ilvl w:val="0"/>
                <w:numId w:val="48"/>
              </w:numPr>
              <w:jc w:val="left"/>
              <w:rPr>
                <w:rFonts w:ascii="宋体" w:hAnsi="宋体" w:cs="宋体"/>
                <w:color w:val="auto"/>
                <w:szCs w:val="21"/>
              </w:rPr>
            </w:pPr>
            <w:r>
              <w:rPr>
                <w:rFonts w:hint="eastAsia" w:ascii="宋体" w:hAnsi="宋体" w:cs="宋体"/>
                <w:color w:val="auto"/>
                <w:szCs w:val="21"/>
              </w:rPr>
              <w:t>本项目做为本地化开发服务，知识产权为甲方所有。</w:t>
            </w:r>
          </w:p>
          <w:p w14:paraId="41601B40">
            <w:pPr>
              <w:widowControl/>
              <w:numPr>
                <w:ilvl w:val="0"/>
                <w:numId w:val="48"/>
              </w:numPr>
              <w:jc w:val="left"/>
              <w:rPr>
                <w:rFonts w:ascii="宋体" w:hAnsi="宋体" w:cs="宋体"/>
                <w:color w:val="auto"/>
                <w:szCs w:val="21"/>
              </w:rPr>
            </w:pPr>
            <w:r>
              <w:rPr>
                <w:rFonts w:hint="eastAsia" w:ascii="宋体" w:hAnsi="宋体" w:cs="宋体"/>
                <w:color w:val="auto"/>
                <w:szCs w:val="21"/>
              </w:rPr>
              <w:t>所有功能要求以甲方实际需求为准。</w:t>
            </w:r>
          </w:p>
          <w:p w14:paraId="7BC19D6D">
            <w:pPr>
              <w:widowControl/>
              <w:numPr>
                <w:ilvl w:val="0"/>
                <w:numId w:val="48"/>
              </w:numPr>
              <w:jc w:val="left"/>
              <w:rPr>
                <w:rFonts w:ascii="宋体" w:hAnsi="宋体" w:cs="宋体"/>
                <w:color w:val="auto"/>
                <w:szCs w:val="21"/>
              </w:rPr>
            </w:pPr>
            <w:r>
              <w:rPr>
                <w:rFonts w:hint="eastAsia" w:ascii="宋体" w:hAnsi="宋体" w:cs="宋体"/>
                <w:color w:val="auto"/>
                <w:szCs w:val="21"/>
              </w:rPr>
              <w:t>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tc>
      </w:tr>
    </w:tbl>
    <w:p w14:paraId="00176A14">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F7AD"/>
    <w:multiLevelType w:val="singleLevel"/>
    <w:tmpl w:val="834DF7AD"/>
    <w:lvl w:ilvl="0" w:tentative="0">
      <w:start w:val="1"/>
      <w:numFmt w:val="decimal"/>
      <w:lvlText w:val="(%1)"/>
      <w:lvlJc w:val="left"/>
      <w:pPr>
        <w:ind w:left="425" w:hanging="425"/>
      </w:pPr>
      <w:rPr>
        <w:rFonts w:hint="default"/>
      </w:rPr>
    </w:lvl>
  </w:abstractNum>
  <w:abstractNum w:abstractNumId="1">
    <w:nsid w:val="83962C24"/>
    <w:multiLevelType w:val="singleLevel"/>
    <w:tmpl w:val="83962C24"/>
    <w:lvl w:ilvl="0" w:tentative="0">
      <w:start w:val="1"/>
      <w:numFmt w:val="decimal"/>
      <w:lvlText w:val="(%1)"/>
      <w:lvlJc w:val="left"/>
      <w:pPr>
        <w:ind w:left="425" w:hanging="425"/>
      </w:pPr>
      <w:rPr>
        <w:rFonts w:hint="default"/>
      </w:rPr>
    </w:lvl>
  </w:abstractNum>
  <w:abstractNum w:abstractNumId="2">
    <w:nsid w:val="8A2CD82D"/>
    <w:multiLevelType w:val="singleLevel"/>
    <w:tmpl w:val="8A2CD82D"/>
    <w:lvl w:ilvl="0" w:tentative="0">
      <w:start w:val="1"/>
      <w:numFmt w:val="decimal"/>
      <w:lvlText w:val="(%1)"/>
      <w:lvlJc w:val="left"/>
      <w:pPr>
        <w:ind w:left="425" w:hanging="425"/>
      </w:pPr>
      <w:rPr>
        <w:rFonts w:hint="default"/>
      </w:rPr>
    </w:lvl>
  </w:abstractNum>
  <w:abstractNum w:abstractNumId="3">
    <w:nsid w:val="967DDD0C"/>
    <w:multiLevelType w:val="singleLevel"/>
    <w:tmpl w:val="967DDD0C"/>
    <w:lvl w:ilvl="0" w:tentative="0">
      <w:start w:val="1"/>
      <w:numFmt w:val="decimal"/>
      <w:lvlText w:val="(%1)"/>
      <w:lvlJc w:val="left"/>
      <w:pPr>
        <w:ind w:left="425" w:hanging="425"/>
      </w:pPr>
      <w:rPr>
        <w:rFonts w:hint="default"/>
      </w:rPr>
    </w:lvl>
  </w:abstractNum>
  <w:abstractNum w:abstractNumId="4">
    <w:nsid w:val="9784FE76"/>
    <w:multiLevelType w:val="singleLevel"/>
    <w:tmpl w:val="9784FE76"/>
    <w:lvl w:ilvl="0" w:tentative="0">
      <w:start w:val="1"/>
      <w:numFmt w:val="decimal"/>
      <w:suff w:val="nothing"/>
      <w:lvlText w:val="%1."/>
      <w:lvlJc w:val="left"/>
      <w:pPr>
        <w:ind w:left="425" w:hanging="425"/>
      </w:pPr>
      <w:rPr>
        <w:rFonts w:hint="default"/>
      </w:rPr>
    </w:lvl>
  </w:abstractNum>
  <w:abstractNum w:abstractNumId="5">
    <w:nsid w:val="9C19B6C2"/>
    <w:multiLevelType w:val="singleLevel"/>
    <w:tmpl w:val="9C19B6C2"/>
    <w:lvl w:ilvl="0" w:tentative="0">
      <w:start w:val="1"/>
      <w:numFmt w:val="decimal"/>
      <w:lvlText w:val="(%1)"/>
      <w:lvlJc w:val="left"/>
      <w:pPr>
        <w:ind w:left="425" w:hanging="425"/>
      </w:pPr>
      <w:rPr>
        <w:rFonts w:hint="default"/>
      </w:rPr>
    </w:lvl>
  </w:abstractNum>
  <w:abstractNum w:abstractNumId="6">
    <w:nsid w:val="AABB12AD"/>
    <w:multiLevelType w:val="singleLevel"/>
    <w:tmpl w:val="AABB12AD"/>
    <w:lvl w:ilvl="0" w:tentative="0">
      <w:start w:val="2"/>
      <w:numFmt w:val="decimal"/>
      <w:suff w:val="nothing"/>
      <w:lvlText w:val="（%1）"/>
      <w:lvlJc w:val="left"/>
    </w:lvl>
  </w:abstractNum>
  <w:abstractNum w:abstractNumId="7">
    <w:nsid w:val="AFFC3FDE"/>
    <w:multiLevelType w:val="singleLevel"/>
    <w:tmpl w:val="AFFC3FDE"/>
    <w:lvl w:ilvl="0" w:tentative="0">
      <w:start w:val="1"/>
      <w:numFmt w:val="decimalEnclosedCircleChinese"/>
      <w:suff w:val="nothing"/>
      <w:lvlText w:val="%1　"/>
      <w:lvlJc w:val="left"/>
      <w:pPr>
        <w:ind w:left="0" w:firstLine="400"/>
      </w:pPr>
      <w:rPr>
        <w:rFonts w:hint="eastAsia"/>
      </w:rPr>
    </w:lvl>
  </w:abstractNum>
  <w:abstractNum w:abstractNumId="8">
    <w:nsid w:val="B45C8769"/>
    <w:multiLevelType w:val="singleLevel"/>
    <w:tmpl w:val="B45C8769"/>
    <w:lvl w:ilvl="0" w:tentative="0">
      <w:start w:val="1"/>
      <w:numFmt w:val="decimal"/>
      <w:lvlText w:val="(%1)"/>
      <w:lvlJc w:val="left"/>
      <w:pPr>
        <w:ind w:left="425" w:hanging="425"/>
      </w:pPr>
      <w:rPr>
        <w:rFonts w:hint="default"/>
      </w:rPr>
    </w:lvl>
  </w:abstractNum>
  <w:abstractNum w:abstractNumId="9">
    <w:nsid w:val="B591AC56"/>
    <w:multiLevelType w:val="singleLevel"/>
    <w:tmpl w:val="B591AC56"/>
    <w:lvl w:ilvl="0" w:tentative="0">
      <w:start w:val="1"/>
      <w:numFmt w:val="decimal"/>
      <w:lvlText w:val="(%1)"/>
      <w:lvlJc w:val="left"/>
      <w:pPr>
        <w:ind w:left="425" w:hanging="425"/>
      </w:pPr>
      <w:rPr>
        <w:rFonts w:hint="default"/>
      </w:rPr>
    </w:lvl>
  </w:abstractNum>
  <w:abstractNum w:abstractNumId="10">
    <w:nsid w:val="BF5F5739"/>
    <w:multiLevelType w:val="singleLevel"/>
    <w:tmpl w:val="BF5F5739"/>
    <w:lvl w:ilvl="0" w:tentative="0">
      <w:start w:val="1"/>
      <w:numFmt w:val="decimal"/>
      <w:lvlText w:val="(%1)"/>
      <w:lvlJc w:val="left"/>
      <w:pPr>
        <w:ind w:left="425" w:hanging="425"/>
      </w:pPr>
      <w:rPr>
        <w:rFonts w:hint="default"/>
      </w:rPr>
    </w:lvl>
  </w:abstractNum>
  <w:abstractNum w:abstractNumId="11">
    <w:nsid w:val="CA97C5B1"/>
    <w:multiLevelType w:val="singleLevel"/>
    <w:tmpl w:val="CA97C5B1"/>
    <w:lvl w:ilvl="0" w:tentative="0">
      <w:start w:val="1"/>
      <w:numFmt w:val="decimalEnclosedCircleChinese"/>
      <w:suff w:val="nothing"/>
      <w:lvlText w:val="%1　"/>
      <w:lvlJc w:val="left"/>
      <w:pPr>
        <w:ind w:left="0" w:firstLine="400"/>
      </w:pPr>
      <w:rPr>
        <w:rFonts w:hint="eastAsia"/>
      </w:rPr>
    </w:lvl>
  </w:abstractNum>
  <w:abstractNum w:abstractNumId="12">
    <w:nsid w:val="CBD34E17"/>
    <w:multiLevelType w:val="singleLevel"/>
    <w:tmpl w:val="CBD34E17"/>
    <w:lvl w:ilvl="0" w:tentative="0">
      <w:start w:val="1"/>
      <w:numFmt w:val="decimal"/>
      <w:lvlText w:val="(%1)"/>
      <w:lvlJc w:val="left"/>
      <w:pPr>
        <w:ind w:left="425" w:hanging="425"/>
      </w:pPr>
      <w:rPr>
        <w:rFonts w:hint="default"/>
      </w:rPr>
    </w:lvl>
  </w:abstractNum>
  <w:abstractNum w:abstractNumId="13">
    <w:nsid w:val="CCA9FC5A"/>
    <w:multiLevelType w:val="singleLevel"/>
    <w:tmpl w:val="CCA9FC5A"/>
    <w:lvl w:ilvl="0" w:tentative="0">
      <w:start w:val="1"/>
      <w:numFmt w:val="decimal"/>
      <w:lvlText w:val="(%1)"/>
      <w:lvlJc w:val="left"/>
      <w:pPr>
        <w:ind w:left="425" w:hanging="425"/>
      </w:pPr>
      <w:rPr>
        <w:rFonts w:hint="default"/>
      </w:rPr>
    </w:lvl>
  </w:abstractNum>
  <w:abstractNum w:abstractNumId="14">
    <w:nsid w:val="CD37A416"/>
    <w:multiLevelType w:val="singleLevel"/>
    <w:tmpl w:val="CD37A416"/>
    <w:lvl w:ilvl="0" w:tentative="0">
      <w:start w:val="1"/>
      <w:numFmt w:val="decimal"/>
      <w:lvlText w:val="(%1)"/>
      <w:lvlJc w:val="left"/>
      <w:pPr>
        <w:ind w:left="425" w:hanging="425"/>
      </w:pPr>
      <w:rPr>
        <w:rFonts w:hint="default"/>
      </w:rPr>
    </w:lvl>
  </w:abstractNum>
  <w:abstractNum w:abstractNumId="15">
    <w:nsid w:val="D64EC6F6"/>
    <w:multiLevelType w:val="singleLevel"/>
    <w:tmpl w:val="D64EC6F6"/>
    <w:lvl w:ilvl="0" w:tentative="0">
      <w:start w:val="1"/>
      <w:numFmt w:val="decimal"/>
      <w:lvlText w:val="(%1)"/>
      <w:lvlJc w:val="left"/>
      <w:pPr>
        <w:ind w:left="425" w:hanging="425"/>
      </w:pPr>
      <w:rPr>
        <w:rFonts w:hint="default"/>
      </w:rPr>
    </w:lvl>
  </w:abstractNum>
  <w:abstractNum w:abstractNumId="16">
    <w:nsid w:val="D757E40E"/>
    <w:multiLevelType w:val="singleLevel"/>
    <w:tmpl w:val="D757E40E"/>
    <w:lvl w:ilvl="0" w:tentative="0">
      <w:start w:val="1"/>
      <w:numFmt w:val="decimal"/>
      <w:lvlText w:val="(%1)"/>
      <w:lvlJc w:val="left"/>
      <w:pPr>
        <w:ind w:left="425" w:hanging="425"/>
      </w:pPr>
      <w:rPr>
        <w:rFonts w:hint="default"/>
      </w:rPr>
    </w:lvl>
  </w:abstractNum>
  <w:abstractNum w:abstractNumId="17">
    <w:nsid w:val="DA8B2BE5"/>
    <w:multiLevelType w:val="singleLevel"/>
    <w:tmpl w:val="DA8B2BE5"/>
    <w:lvl w:ilvl="0" w:tentative="0">
      <w:start w:val="1"/>
      <w:numFmt w:val="decimal"/>
      <w:lvlText w:val="(%1)"/>
      <w:lvlJc w:val="left"/>
      <w:pPr>
        <w:ind w:left="425" w:hanging="425"/>
      </w:pPr>
      <w:rPr>
        <w:rFonts w:hint="default"/>
      </w:rPr>
    </w:lvl>
  </w:abstractNum>
  <w:abstractNum w:abstractNumId="18">
    <w:nsid w:val="DD5BA507"/>
    <w:multiLevelType w:val="singleLevel"/>
    <w:tmpl w:val="DD5BA507"/>
    <w:lvl w:ilvl="0" w:tentative="0">
      <w:start w:val="1"/>
      <w:numFmt w:val="decimal"/>
      <w:lvlText w:val="(%1)"/>
      <w:lvlJc w:val="left"/>
      <w:pPr>
        <w:ind w:left="425" w:hanging="425"/>
      </w:pPr>
      <w:rPr>
        <w:rFonts w:hint="default"/>
      </w:rPr>
    </w:lvl>
  </w:abstractNum>
  <w:abstractNum w:abstractNumId="19">
    <w:nsid w:val="E096E96F"/>
    <w:multiLevelType w:val="singleLevel"/>
    <w:tmpl w:val="E096E96F"/>
    <w:lvl w:ilvl="0" w:tentative="0">
      <w:start w:val="1"/>
      <w:numFmt w:val="decimal"/>
      <w:lvlText w:val="(%1)"/>
      <w:lvlJc w:val="left"/>
      <w:pPr>
        <w:ind w:left="425" w:hanging="425"/>
      </w:pPr>
      <w:rPr>
        <w:rFonts w:hint="default"/>
      </w:rPr>
    </w:lvl>
  </w:abstractNum>
  <w:abstractNum w:abstractNumId="20">
    <w:nsid w:val="E5B6606F"/>
    <w:multiLevelType w:val="singleLevel"/>
    <w:tmpl w:val="E5B6606F"/>
    <w:lvl w:ilvl="0" w:tentative="0">
      <w:start w:val="1"/>
      <w:numFmt w:val="decimal"/>
      <w:lvlText w:val="(%1)"/>
      <w:lvlJc w:val="left"/>
      <w:pPr>
        <w:ind w:left="425" w:hanging="425"/>
      </w:pPr>
      <w:rPr>
        <w:rFonts w:hint="default"/>
      </w:rPr>
    </w:lvl>
  </w:abstractNum>
  <w:abstractNum w:abstractNumId="21">
    <w:nsid w:val="E95EC4D1"/>
    <w:multiLevelType w:val="singleLevel"/>
    <w:tmpl w:val="E95EC4D1"/>
    <w:lvl w:ilvl="0" w:tentative="0">
      <w:start w:val="1"/>
      <w:numFmt w:val="decimal"/>
      <w:lvlText w:val="(%1)"/>
      <w:lvlJc w:val="left"/>
      <w:pPr>
        <w:ind w:left="425" w:hanging="425"/>
      </w:pPr>
      <w:rPr>
        <w:rFonts w:hint="default"/>
      </w:rPr>
    </w:lvl>
  </w:abstractNum>
  <w:abstractNum w:abstractNumId="22">
    <w:nsid w:val="F6EA0710"/>
    <w:multiLevelType w:val="singleLevel"/>
    <w:tmpl w:val="F6EA0710"/>
    <w:lvl w:ilvl="0" w:tentative="0">
      <w:start w:val="1"/>
      <w:numFmt w:val="decimal"/>
      <w:lvlText w:val="(%1)"/>
      <w:lvlJc w:val="left"/>
      <w:pPr>
        <w:ind w:left="425" w:hanging="425"/>
      </w:pPr>
      <w:rPr>
        <w:rFonts w:hint="default"/>
      </w:rPr>
    </w:lvl>
  </w:abstractNum>
  <w:abstractNum w:abstractNumId="23">
    <w:nsid w:val="0D157FC9"/>
    <w:multiLevelType w:val="singleLevel"/>
    <w:tmpl w:val="0D157FC9"/>
    <w:lvl w:ilvl="0" w:tentative="0">
      <w:start w:val="1"/>
      <w:numFmt w:val="decimal"/>
      <w:lvlText w:val="(%1)"/>
      <w:lvlJc w:val="left"/>
      <w:pPr>
        <w:ind w:left="425" w:hanging="425"/>
      </w:pPr>
      <w:rPr>
        <w:rFonts w:hint="default"/>
      </w:rPr>
    </w:lvl>
  </w:abstractNum>
  <w:abstractNum w:abstractNumId="24">
    <w:nsid w:val="0EC44A84"/>
    <w:multiLevelType w:val="singleLevel"/>
    <w:tmpl w:val="0EC44A84"/>
    <w:lvl w:ilvl="0" w:tentative="0">
      <w:start w:val="1"/>
      <w:numFmt w:val="decimal"/>
      <w:lvlText w:val="(%1)"/>
      <w:lvlJc w:val="left"/>
      <w:pPr>
        <w:ind w:left="425" w:hanging="425"/>
      </w:pPr>
      <w:rPr>
        <w:rFonts w:hint="default"/>
      </w:rPr>
    </w:lvl>
  </w:abstractNum>
  <w:abstractNum w:abstractNumId="25">
    <w:nsid w:val="0FE16797"/>
    <w:multiLevelType w:val="singleLevel"/>
    <w:tmpl w:val="0FE16797"/>
    <w:lvl w:ilvl="0" w:tentative="0">
      <w:start w:val="1"/>
      <w:numFmt w:val="decimal"/>
      <w:lvlText w:val="(%1)"/>
      <w:lvlJc w:val="left"/>
      <w:pPr>
        <w:ind w:left="425" w:hanging="425"/>
      </w:pPr>
      <w:rPr>
        <w:rFonts w:hint="default"/>
      </w:rPr>
    </w:lvl>
  </w:abstractNum>
  <w:abstractNum w:abstractNumId="26">
    <w:nsid w:val="0FE6FE5C"/>
    <w:multiLevelType w:val="singleLevel"/>
    <w:tmpl w:val="0FE6FE5C"/>
    <w:lvl w:ilvl="0" w:tentative="0">
      <w:start w:val="1"/>
      <w:numFmt w:val="decimal"/>
      <w:lvlText w:val="(%1)"/>
      <w:lvlJc w:val="left"/>
      <w:pPr>
        <w:ind w:left="425" w:hanging="425"/>
      </w:pPr>
      <w:rPr>
        <w:rFonts w:hint="default"/>
      </w:rPr>
    </w:lvl>
  </w:abstractNum>
  <w:abstractNum w:abstractNumId="27">
    <w:nsid w:val="150EF7F3"/>
    <w:multiLevelType w:val="singleLevel"/>
    <w:tmpl w:val="150EF7F3"/>
    <w:lvl w:ilvl="0" w:tentative="0">
      <w:start w:val="1"/>
      <w:numFmt w:val="decimal"/>
      <w:lvlText w:val="(%1)"/>
      <w:lvlJc w:val="left"/>
      <w:pPr>
        <w:ind w:left="425" w:hanging="425"/>
      </w:pPr>
      <w:rPr>
        <w:rFonts w:hint="default"/>
      </w:rPr>
    </w:lvl>
  </w:abstractNum>
  <w:abstractNum w:abstractNumId="28">
    <w:nsid w:val="15F4035D"/>
    <w:multiLevelType w:val="singleLevel"/>
    <w:tmpl w:val="15F4035D"/>
    <w:lvl w:ilvl="0" w:tentative="0">
      <w:start w:val="1"/>
      <w:numFmt w:val="decimal"/>
      <w:lvlText w:val="%1."/>
      <w:lvlJc w:val="left"/>
      <w:pPr>
        <w:tabs>
          <w:tab w:val="left" w:pos="312"/>
        </w:tabs>
      </w:pPr>
    </w:lvl>
  </w:abstractNum>
  <w:abstractNum w:abstractNumId="29">
    <w:nsid w:val="17FFFB31"/>
    <w:multiLevelType w:val="singleLevel"/>
    <w:tmpl w:val="17FFFB31"/>
    <w:lvl w:ilvl="0" w:tentative="0">
      <w:start w:val="1"/>
      <w:numFmt w:val="decimal"/>
      <w:lvlText w:val="(%1)"/>
      <w:lvlJc w:val="left"/>
      <w:pPr>
        <w:ind w:left="425" w:hanging="425"/>
      </w:pPr>
      <w:rPr>
        <w:rFonts w:hint="default"/>
      </w:rPr>
    </w:lvl>
  </w:abstractNum>
  <w:abstractNum w:abstractNumId="30">
    <w:nsid w:val="266FE93A"/>
    <w:multiLevelType w:val="singleLevel"/>
    <w:tmpl w:val="266FE93A"/>
    <w:lvl w:ilvl="0" w:tentative="0">
      <w:start w:val="1"/>
      <w:numFmt w:val="decimal"/>
      <w:lvlText w:val="(%1)"/>
      <w:lvlJc w:val="left"/>
      <w:pPr>
        <w:ind w:left="425" w:hanging="425"/>
      </w:pPr>
      <w:rPr>
        <w:rFonts w:hint="default"/>
      </w:rPr>
    </w:lvl>
  </w:abstractNum>
  <w:abstractNum w:abstractNumId="31">
    <w:nsid w:val="29F8B793"/>
    <w:multiLevelType w:val="singleLevel"/>
    <w:tmpl w:val="29F8B793"/>
    <w:lvl w:ilvl="0" w:tentative="0">
      <w:start w:val="1"/>
      <w:numFmt w:val="decimal"/>
      <w:lvlText w:val="(%1)"/>
      <w:lvlJc w:val="left"/>
      <w:pPr>
        <w:ind w:left="425" w:hanging="425"/>
      </w:pPr>
      <w:rPr>
        <w:rFonts w:hint="default"/>
      </w:rPr>
    </w:lvl>
  </w:abstractNum>
  <w:abstractNum w:abstractNumId="32">
    <w:nsid w:val="3277AC23"/>
    <w:multiLevelType w:val="singleLevel"/>
    <w:tmpl w:val="3277AC23"/>
    <w:lvl w:ilvl="0" w:tentative="0">
      <w:start w:val="1"/>
      <w:numFmt w:val="decimal"/>
      <w:lvlText w:val="(%1)"/>
      <w:lvlJc w:val="left"/>
      <w:pPr>
        <w:ind w:left="425" w:hanging="425"/>
      </w:pPr>
      <w:rPr>
        <w:rFonts w:hint="default"/>
      </w:rPr>
    </w:lvl>
  </w:abstractNum>
  <w:abstractNum w:abstractNumId="33">
    <w:nsid w:val="336B0EC5"/>
    <w:multiLevelType w:val="singleLevel"/>
    <w:tmpl w:val="336B0EC5"/>
    <w:lvl w:ilvl="0" w:tentative="0">
      <w:start w:val="1"/>
      <w:numFmt w:val="decimal"/>
      <w:lvlText w:val="(%1)"/>
      <w:lvlJc w:val="left"/>
      <w:pPr>
        <w:ind w:left="425" w:hanging="425"/>
      </w:pPr>
      <w:rPr>
        <w:rFonts w:hint="default"/>
      </w:rPr>
    </w:lvl>
  </w:abstractNum>
  <w:abstractNum w:abstractNumId="34">
    <w:nsid w:val="3CA41E41"/>
    <w:multiLevelType w:val="singleLevel"/>
    <w:tmpl w:val="3CA41E41"/>
    <w:lvl w:ilvl="0" w:tentative="0">
      <w:start w:val="1"/>
      <w:numFmt w:val="decimal"/>
      <w:lvlText w:val="(%1)"/>
      <w:lvlJc w:val="left"/>
      <w:pPr>
        <w:ind w:left="425" w:hanging="425"/>
      </w:pPr>
      <w:rPr>
        <w:rFonts w:hint="default"/>
      </w:rPr>
    </w:lvl>
  </w:abstractNum>
  <w:abstractNum w:abstractNumId="35">
    <w:nsid w:val="3F63985D"/>
    <w:multiLevelType w:val="singleLevel"/>
    <w:tmpl w:val="3F63985D"/>
    <w:lvl w:ilvl="0" w:tentative="0">
      <w:start w:val="1"/>
      <w:numFmt w:val="decimal"/>
      <w:lvlText w:val="(%1)"/>
      <w:lvlJc w:val="left"/>
      <w:pPr>
        <w:ind w:left="425" w:hanging="425"/>
      </w:pPr>
      <w:rPr>
        <w:rFonts w:hint="default"/>
      </w:rPr>
    </w:lvl>
  </w:abstractNum>
  <w:abstractNum w:abstractNumId="36">
    <w:nsid w:val="4068AF1A"/>
    <w:multiLevelType w:val="singleLevel"/>
    <w:tmpl w:val="4068AF1A"/>
    <w:lvl w:ilvl="0" w:tentative="0">
      <w:start w:val="1"/>
      <w:numFmt w:val="decimalEnclosedCircleChinese"/>
      <w:suff w:val="nothing"/>
      <w:lvlText w:val="%1　"/>
      <w:lvlJc w:val="left"/>
      <w:pPr>
        <w:ind w:left="793" w:hanging="393"/>
      </w:pPr>
      <w:rPr>
        <w:rFonts w:hint="eastAsia"/>
      </w:rPr>
    </w:lvl>
  </w:abstractNum>
  <w:abstractNum w:abstractNumId="37">
    <w:nsid w:val="461823AF"/>
    <w:multiLevelType w:val="singleLevel"/>
    <w:tmpl w:val="461823AF"/>
    <w:lvl w:ilvl="0" w:tentative="0">
      <w:start w:val="1"/>
      <w:numFmt w:val="decimal"/>
      <w:suff w:val="nothing"/>
      <w:lvlText w:val="%1."/>
      <w:lvlJc w:val="left"/>
      <w:pPr>
        <w:ind w:left="220" w:hanging="220"/>
      </w:pPr>
      <w:rPr>
        <w:rFonts w:hint="default"/>
      </w:rPr>
    </w:lvl>
  </w:abstractNum>
  <w:abstractNum w:abstractNumId="38">
    <w:nsid w:val="49EE79EE"/>
    <w:multiLevelType w:val="singleLevel"/>
    <w:tmpl w:val="49EE79EE"/>
    <w:lvl w:ilvl="0" w:tentative="0">
      <w:start w:val="1"/>
      <w:numFmt w:val="decimal"/>
      <w:lvlText w:val="(%1)"/>
      <w:lvlJc w:val="left"/>
      <w:pPr>
        <w:ind w:left="425" w:hanging="425"/>
      </w:pPr>
      <w:rPr>
        <w:rFonts w:hint="default"/>
      </w:rPr>
    </w:lvl>
  </w:abstractNum>
  <w:abstractNum w:abstractNumId="39">
    <w:nsid w:val="4FD15047"/>
    <w:multiLevelType w:val="singleLevel"/>
    <w:tmpl w:val="4FD15047"/>
    <w:lvl w:ilvl="0" w:tentative="0">
      <w:start w:val="1"/>
      <w:numFmt w:val="decimal"/>
      <w:lvlText w:val="(%1)"/>
      <w:lvlJc w:val="left"/>
      <w:pPr>
        <w:ind w:left="425" w:hanging="425"/>
      </w:pPr>
      <w:rPr>
        <w:rFonts w:hint="default"/>
      </w:rPr>
    </w:lvl>
  </w:abstractNum>
  <w:abstractNum w:abstractNumId="40">
    <w:nsid w:val="549B8A7A"/>
    <w:multiLevelType w:val="singleLevel"/>
    <w:tmpl w:val="549B8A7A"/>
    <w:lvl w:ilvl="0" w:tentative="0">
      <w:start w:val="1"/>
      <w:numFmt w:val="decimal"/>
      <w:lvlText w:val="(%1)"/>
      <w:lvlJc w:val="left"/>
      <w:pPr>
        <w:ind w:left="425" w:hanging="425"/>
      </w:pPr>
      <w:rPr>
        <w:rFonts w:hint="default"/>
      </w:rPr>
    </w:lvl>
  </w:abstractNum>
  <w:abstractNum w:abstractNumId="41">
    <w:nsid w:val="5BE872AE"/>
    <w:multiLevelType w:val="singleLevel"/>
    <w:tmpl w:val="5BE872AE"/>
    <w:lvl w:ilvl="0" w:tentative="0">
      <w:start w:val="1"/>
      <w:numFmt w:val="decimal"/>
      <w:lvlText w:val="(%1)"/>
      <w:lvlJc w:val="left"/>
      <w:pPr>
        <w:ind w:left="425" w:hanging="425"/>
      </w:pPr>
      <w:rPr>
        <w:rFonts w:hint="default"/>
      </w:rPr>
    </w:lvl>
  </w:abstractNum>
  <w:abstractNum w:abstractNumId="42">
    <w:nsid w:val="61E7AADF"/>
    <w:multiLevelType w:val="singleLevel"/>
    <w:tmpl w:val="61E7AADF"/>
    <w:lvl w:ilvl="0" w:tentative="0">
      <w:start w:val="1"/>
      <w:numFmt w:val="decimal"/>
      <w:lvlText w:val="(%1)"/>
      <w:lvlJc w:val="left"/>
      <w:pPr>
        <w:ind w:left="425" w:hanging="425"/>
      </w:pPr>
      <w:rPr>
        <w:rFonts w:hint="default"/>
      </w:rPr>
    </w:lvl>
  </w:abstractNum>
  <w:abstractNum w:abstractNumId="43">
    <w:nsid w:val="6E776672"/>
    <w:multiLevelType w:val="singleLevel"/>
    <w:tmpl w:val="6E776672"/>
    <w:lvl w:ilvl="0" w:tentative="0">
      <w:start w:val="1"/>
      <w:numFmt w:val="decimal"/>
      <w:lvlText w:val="(%1)"/>
      <w:lvlJc w:val="left"/>
      <w:pPr>
        <w:ind w:left="425" w:hanging="425"/>
      </w:pPr>
      <w:rPr>
        <w:rFonts w:hint="default"/>
      </w:rPr>
    </w:lvl>
  </w:abstractNum>
  <w:abstractNum w:abstractNumId="44">
    <w:nsid w:val="727BC062"/>
    <w:multiLevelType w:val="singleLevel"/>
    <w:tmpl w:val="727BC062"/>
    <w:lvl w:ilvl="0" w:tentative="0">
      <w:start w:val="1"/>
      <w:numFmt w:val="decimal"/>
      <w:lvlText w:val="(%1)"/>
      <w:lvlJc w:val="left"/>
      <w:pPr>
        <w:ind w:left="425" w:hanging="425"/>
      </w:pPr>
      <w:rPr>
        <w:rFonts w:hint="default"/>
      </w:rPr>
    </w:lvl>
  </w:abstractNum>
  <w:abstractNum w:abstractNumId="45">
    <w:nsid w:val="748EE330"/>
    <w:multiLevelType w:val="singleLevel"/>
    <w:tmpl w:val="748EE330"/>
    <w:lvl w:ilvl="0" w:tentative="0">
      <w:start w:val="1"/>
      <w:numFmt w:val="decimal"/>
      <w:lvlText w:val="(%1)"/>
      <w:lvlJc w:val="left"/>
      <w:pPr>
        <w:ind w:left="425" w:hanging="425"/>
      </w:pPr>
      <w:rPr>
        <w:rFonts w:hint="default"/>
      </w:rPr>
    </w:lvl>
  </w:abstractNum>
  <w:abstractNum w:abstractNumId="46">
    <w:nsid w:val="7CB86E39"/>
    <w:multiLevelType w:val="singleLevel"/>
    <w:tmpl w:val="7CB86E39"/>
    <w:lvl w:ilvl="0" w:tentative="0">
      <w:start w:val="1"/>
      <w:numFmt w:val="decimal"/>
      <w:lvlText w:val="(%1)"/>
      <w:lvlJc w:val="left"/>
      <w:pPr>
        <w:ind w:left="425" w:hanging="425"/>
      </w:pPr>
      <w:rPr>
        <w:rFonts w:hint="default"/>
      </w:rPr>
    </w:lvl>
  </w:abstractNum>
  <w:abstractNum w:abstractNumId="47">
    <w:nsid w:val="7DAA595B"/>
    <w:multiLevelType w:val="singleLevel"/>
    <w:tmpl w:val="7DAA595B"/>
    <w:lvl w:ilvl="0" w:tentative="0">
      <w:start w:val="1"/>
      <w:numFmt w:val="decimal"/>
      <w:lvlText w:val="(%1)"/>
      <w:lvlJc w:val="left"/>
      <w:pPr>
        <w:ind w:left="425" w:hanging="425"/>
      </w:pPr>
      <w:rPr>
        <w:rFonts w:hint="default"/>
      </w:rPr>
    </w:lvl>
  </w:abstractNum>
  <w:num w:numId="1">
    <w:abstractNumId w:val="39"/>
  </w:num>
  <w:num w:numId="2">
    <w:abstractNumId w:val="11"/>
  </w:num>
  <w:num w:numId="3">
    <w:abstractNumId w:val="6"/>
  </w:num>
  <w:num w:numId="4">
    <w:abstractNumId w:val="36"/>
  </w:num>
  <w:num w:numId="5">
    <w:abstractNumId w:val="7"/>
  </w:num>
  <w:num w:numId="6">
    <w:abstractNumId w:val="41"/>
  </w:num>
  <w:num w:numId="7">
    <w:abstractNumId w:val="14"/>
  </w:num>
  <w:num w:numId="8">
    <w:abstractNumId w:val="45"/>
  </w:num>
  <w:num w:numId="9">
    <w:abstractNumId w:val="2"/>
  </w:num>
  <w:num w:numId="10">
    <w:abstractNumId w:val="9"/>
  </w:num>
  <w:num w:numId="11">
    <w:abstractNumId w:val="12"/>
  </w:num>
  <w:num w:numId="12">
    <w:abstractNumId w:val="17"/>
  </w:num>
  <w:num w:numId="13">
    <w:abstractNumId w:val="5"/>
  </w:num>
  <w:num w:numId="14">
    <w:abstractNumId w:val="8"/>
  </w:num>
  <w:num w:numId="15">
    <w:abstractNumId w:val="22"/>
  </w:num>
  <w:num w:numId="16">
    <w:abstractNumId w:val="42"/>
  </w:num>
  <w:num w:numId="17">
    <w:abstractNumId w:val="34"/>
  </w:num>
  <w:num w:numId="18">
    <w:abstractNumId w:val="35"/>
  </w:num>
  <w:num w:numId="19">
    <w:abstractNumId w:val="10"/>
  </w:num>
  <w:num w:numId="20">
    <w:abstractNumId w:val="1"/>
  </w:num>
  <w:num w:numId="21">
    <w:abstractNumId w:val="33"/>
  </w:num>
  <w:num w:numId="22">
    <w:abstractNumId w:val="26"/>
  </w:num>
  <w:num w:numId="23">
    <w:abstractNumId w:val="25"/>
  </w:num>
  <w:num w:numId="24">
    <w:abstractNumId w:val="46"/>
  </w:num>
  <w:num w:numId="25">
    <w:abstractNumId w:val="40"/>
  </w:num>
  <w:num w:numId="26">
    <w:abstractNumId w:val="43"/>
  </w:num>
  <w:num w:numId="27">
    <w:abstractNumId w:val="15"/>
  </w:num>
  <w:num w:numId="28">
    <w:abstractNumId w:val="27"/>
  </w:num>
  <w:num w:numId="29">
    <w:abstractNumId w:val="24"/>
  </w:num>
  <w:num w:numId="30">
    <w:abstractNumId w:val="32"/>
  </w:num>
  <w:num w:numId="31">
    <w:abstractNumId w:val="30"/>
  </w:num>
  <w:num w:numId="32">
    <w:abstractNumId w:val="21"/>
  </w:num>
  <w:num w:numId="33">
    <w:abstractNumId w:val="19"/>
  </w:num>
  <w:num w:numId="34">
    <w:abstractNumId w:val="18"/>
  </w:num>
  <w:num w:numId="35">
    <w:abstractNumId w:val="23"/>
  </w:num>
  <w:num w:numId="36">
    <w:abstractNumId w:val="20"/>
  </w:num>
  <w:num w:numId="37">
    <w:abstractNumId w:val="44"/>
  </w:num>
  <w:num w:numId="38">
    <w:abstractNumId w:val="47"/>
  </w:num>
  <w:num w:numId="39">
    <w:abstractNumId w:val="0"/>
  </w:num>
  <w:num w:numId="40">
    <w:abstractNumId w:val="38"/>
  </w:num>
  <w:num w:numId="41">
    <w:abstractNumId w:val="29"/>
  </w:num>
  <w:num w:numId="42">
    <w:abstractNumId w:val="3"/>
  </w:num>
  <w:num w:numId="43">
    <w:abstractNumId w:val="31"/>
  </w:num>
  <w:num w:numId="44">
    <w:abstractNumId w:val="37"/>
  </w:num>
  <w:num w:numId="45">
    <w:abstractNumId w:val="4"/>
  </w:num>
  <w:num w:numId="46">
    <w:abstractNumId w:val="16"/>
  </w:num>
  <w:num w:numId="47">
    <w:abstractNumId w:val="1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9E"/>
    <w:rsid w:val="00031578"/>
    <w:rsid w:val="001315D9"/>
    <w:rsid w:val="001E726F"/>
    <w:rsid w:val="003465A6"/>
    <w:rsid w:val="003C4136"/>
    <w:rsid w:val="005E3955"/>
    <w:rsid w:val="00843986"/>
    <w:rsid w:val="00850201"/>
    <w:rsid w:val="009E639E"/>
    <w:rsid w:val="00BA0ECC"/>
    <w:rsid w:val="00FE55A1"/>
    <w:rsid w:val="01651617"/>
    <w:rsid w:val="01C64B2B"/>
    <w:rsid w:val="01D1627F"/>
    <w:rsid w:val="01D709AB"/>
    <w:rsid w:val="02450B1A"/>
    <w:rsid w:val="02B2285A"/>
    <w:rsid w:val="035829D1"/>
    <w:rsid w:val="035F1F92"/>
    <w:rsid w:val="037A40C6"/>
    <w:rsid w:val="046969BC"/>
    <w:rsid w:val="04787C5D"/>
    <w:rsid w:val="04CC655C"/>
    <w:rsid w:val="04F763EB"/>
    <w:rsid w:val="04F77713"/>
    <w:rsid w:val="05CE7F14"/>
    <w:rsid w:val="05F91A40"/>
    <w:rsid w:val="065C6B49"/>
    <w:rsid w:val="067032E2"/>
    <w:rsid w:val="06BC2CAD"/>
    <w:rsid w:val="082E31F3"/>
    <w:rsid w:val="087C3466"/>
    <w:rsid w:val="08E616F2"/>
    <w:rsid w:val="092E1232"/>
    <w:rsid w:val="0965025A"/>
    <w:rsid w:val="09BA7D0B"/>
    <w:rsid w:val="0AE02D9D"/>
    <w:rsid w:val="0AE70B80"/>
    <w:rsid w:val="0BC07081"/>
    <w:rsid w:val="0C3A7178"/>
    <w:rsid w:val="0C980C60"/>
    <w:rsid w:val="0CFB0813"/>
    <w:rsid w:val="0D981019"/>
    <w:rsid w:val="0DFD21D0"/>
    <w:rsid w:val="0E906868"/>
    <w:rsid w:val="0EB04152"/>
    <w:rsid w:val="0F113188"/>
    <w:rsid w:val="0F1E5BDA"/>
    <w:rsid w:val="0F9A4F2B"/>
    <w:rsid w:val="0FF26B15"/>
    <w:rsid w:val="100E362F"/>
    <w:rsid w:val="10C7077C"/>
    <w:rsid w:val="10D4204A"/>
    <w:rsid w:val="11AB719A"/>
    <w:rsid w:val="12520E71"/>
    <w:rsid w:val="13434E12"/>
    <w:rsid w:val="137B7824"/>
    <w:rsid w:val="14E97070"/>
    <w:rsid w:val="153656F6"/>
    <w:rsid w:val="153C564B"/>
    <w:rsid w:val="155251A4"/>
    <w:rsid w:val="158A3C94"/>
    <w:rsid w:val="162C38CF"/>
    <w:rsid w:val="17A10052"/>
    <w:rsid w:val="17D62037"/>
    <w:rsid w:val="17E70F2A"/>
    <w:rsid w:val="17FB2994"/>
    <w:rsid w:val="180715CC"/>
    <w:rsid w:val="18097A97"/>
    <w:rsid w:val="181451A4"/>
    <w:rsid w:val="192027E6"/>
    <w:rsid w:val="19A1335A"/>
    <w:rsid w:val="19E044FF"/>
    <w:rsid w:val="19ED5F1E"/>
    <w:rsid w:val="1AA70EF9"/>
    <w:rsid w:val="1ACC48A6"/>
    <w:rsid w:val="1B163FDB"/>
    <w:rsid w:val="1B542D7A"/>
    <w:rsid w:val="1BCB2131"/>
    <w:rsid w:val="1BE04E45"/>
    <w:rsid w:val="1C4032FE"/>
    <w:rsid w:val="1C5F3784"/>
    <w:rsid w:val="1CB76590"/>
    <w:rsid w:val="1CBD04AB"/>
    <w:rsid w:val="1CCF5FBC"/>
    <w:rsid w:val="1CE12A23"/>
    <w:rsid w:val="1D365D96"/>
    <w:rsid w:val="1E391DB3"/>
    <w:rsid w:val="1E411FDC"/>
    <w:rsid w:val="206B3A09"/>
    <w:rsid w:val="211617E2"/>
    <w:rsid w:val="214B6864"/>
    <w:rsid w:val="21BF2393"/>
    <w:rsid w:val="22152C0C"/>
    <w:rsid w:val="2233764F"/>
    <w:rsid w:val="22497BDD"/>
    <w:rsid w:val="22776E22"/>
    <w:rsid w:val="236B59EE"/>
    <w:rsid w:val="2375131B"/>
    <w:rsid w:val="238335A6"/>
    <w:rsid w:val="239D1668"/>
    <w:rsid w:val="23AF216A"/>
    <w:rsid w:val="23B21385"/>
    <w:rsid w:val="24B41A04"/>
    <w:rsid w:val="25CC50FC"/>
    <w:rsid w:val="27326734"/>
    <w:rsid w:val="28305FD5"/>
    <w:rsid w:val="28B062B1"/>
    <w:rsid w:val="28C84FEF"/>
    <w:rsid w:val="28E65517"/>
    <w:rsid w:val="29560970"/>
    <w:rsid w:val="2964687E"/>
    <w:rsid w:val="298B3B0A"/>
    <w:rsid w:val="299B54DA"/>
    <w:rsid w:val="29FB28AC"/>
    <w:rsid w:val="2B07793D"/>
    <w:rsid w:val="2B78040F"/>
    <w:rsid w:val="2C276851"/>
    <w:rsid w:val="2D4D14E3"/>
    <w:rsid w:val="2DAB1979"/>
    <w:rsid w:val="2E092E20"/>
    <w:rsid w:val="2EC706F7"/>
    <w:rsid w:val="2F622FA8"/>
    <w:rsid w:val="30893C43"/>
    <w:rsid w:val="314F1BC2"/>
    <w:rsid w:val="316513E5"/>
    <w:rsid w:val="32AB06D3"/>
    <w:rsid w:val="34CC342B"/>
    <w:rsid w:val="361B3B70"/>
    <w:rsid w:val="3724250A"/>
    <w:rsid w:val="37247D5B"/>
    <w:rsid w:val="38693A61"/>
    <w:rsid w:val="38B42EEB"/>
    <w:rsid w:val="39017524"/>
    <w:rsid w:val="392B2C6B"/>
    <w:rsid w:val="3A1A6666"/>
    <w:rsid w:val="3A221B67"/>
    <w:rsid w:val="3A541FF7"/>
    <w:rsid w:val="3AB348CC"/>
    <w:rsid w:val="3B492720"/>
    <w:rsid w:val="3B675476"/>
    <w:rsid w:val="3B8A1A7E"/>
    <w:rsid w:val="3BCA412D"/>
    <w:rsid w:val="3BDE3F44"/>
    <w:rsid w:val="3C962485"/>
    <w:rsid w:val="3CB404E9"/>
    <w:rsid w:val="3CC23EDE"/>
    <w:rsid w:val="3D103806"/>
    <w:rsid w:val="3D8E0BF2"/>
    <w:rsid w:val="3DB12122"/>
    <w:rsid w:val="3DBD6A27"/>
    <w:rsid w:val="3DCC6979"/>
    <w:rsid w:val="3DDD0DA2"/>
    <w:rsid w:val="3F073ADC"/>
    <w:rsid w:val="3F56236D"/>
    <w:rsid w:val="3FC46504"/>
    <w:rsid w:val="40041DC9"/>
    <w:rsid w:val="40866A7E"/>
    <w:rsid w:val="41343989"/>
    <w:rsid w:val="42041029"/>
    <w:rsid w:val="427D7EF6"/>
    <w:rsid w:val="434D0666"/>
    <w:rsid w:val="4454417F"/>
    <w:rsid w:val="4487121B"/>
    <w:rsid w:val="44FB6637"/>
    <w:rsid w:val="451458F7"/>
    <w:rsid w:val="45E537B9"/>
    <w:rsid w:val="46024FFD"/>
    <w:rsid w:val="470F5A40"/>
    <w:rsid w:val="4776683D"/>
    <w:rsid w:val="47CE4CAB"/>
    <w:rsid w:val="49307D61"/>
    <w:rsid w:val="49865F45"/>
    <w:rsid w:val="49A455B6"/>
    <w:rsid w:val="49B05850"/>
    <w:rsid w:val="49C34C13"/>
    <w:rsid w:val="49EE386C"/>
    <w:rsid w:val="4A420656"/>
    <w:rsid w:val="4AE42934"/>
    <w:rsid w:val="4B20746B"/>
    <w:rsid w:val="4C7976A6"/>
    <w:rsid w:val="4D640F8B"/>
    <w:rsid w:val="4D665E71"/>
    <w:rsid w:val="4D870B89"/>
    <w:rsid w:val="4DCA56DA"/>
    <w:rsid w:val="4ECB4B86"/>
    <w:rsid w:val="4F7A79D4"/>
    <w:rsid w:val="4F8A1646"/>
    <w:rsid w:val="50FB5F32"/>
    <w:rsid w:val="51D15A56"/>
    <w:rsid w:val="52C41B2D"/>
    <w:rsid w:val="52D826EB"/>
    <w:rsid w:val="52EF3C34"/>
    <w:rsid w:val="538918AA"/>
    <w:rsid w:val="54332F77"/>
    <w:rsid w:val="54490E0D"/>
    <w:rsid w:val="54FD5E02"/>
    <w:rsid w:val="55CA5ACD"/>
    <w:rsid w:val="55DB1F32"/>
    <w:rsid w:val="55F127EE"/>
    <w:rsid w:val="566A2E0C"/>
    <w:rsid w:val="570C2F3D"/>
    <w:rsid w:val="57316401"/>
    <w:rsid w:val="57A04676"/>
    <w:rsid w:val="59B343A0"/>
    <w:rsid w:val="59F94B26"/>
    <w:rsid w:val="5A475571"/>
    <w:rsid w:val="5A6C7673"/>
    <w:rsid w:val="5BC56459"/>
    <w:rsid w:val="5C085155"/>
    <w:rsid w:val="5C8D47B8"/>
    <w:rsid w:val="5C910A31"/>
    <w:rsid w:val="5C9574EF"/>
    <w:rsid w:val="5C960859"/>
    <w:rsid w:val="5DBC3D74"/>
    <w:rsid w:val="5EEE1F7F"/>
    <w:rsid w:val="60283014"/>
    <w:rsid w:val="6032509D"/>
    <w:rsid w:val="60AE00AB"/>
    <w:rsid w:val="61061B60"/>
    <w:rsid w:val="62327A2D"/>
    <w:rsid w:val="624E35C2"/>
    <w:rsid w:val="629673B3"/>
    <w:rsid w:val="63146B0B"/>
    <w:rsid w:val="63652927"/>
    <w:rsid w:val="639F1C85"/>
    <w:rsid w:val="63AE40DB"/>
    <w:rsid w:val="64B259E8"/>
    <w:rsid w:val="64EF0963"/>
    <w:rsid w:val="65C47013"/>
    <w:rsid w:val="660D5738"/>
    <w:rsid w:val="661F70AE"/>
    <w:rsid w:val="66B37C36"/>
    <w:rsid w:val="67543564"/>
    <w:rsid w:val="6832115E"/>
    <w:rsid w:val="68464643"/>
    <w:rsid w:val="691471D4"/>
    <w:rsid w:val="69630DB6"/>
    <w:rsid w:val="699C5B6F"/>
    <w:rsid w:val="69FA74DF"/>
    <w:rsid w:val="6A0C57D1"/>
    <w:rsid w:val="6A460108"/>
    <w:rsid w:val="6AD26D06"/>
    <w:rsid w:val="6B0E6071"/>
    <w:rsid w:val="6B364C7D"/>
    <w:rsid w:val="6CA1568E"/>
    <w:rsid w:val="6D157F66"/>
    <w:rsid w:val="6D5F2C2C"/>
    <w:rsid w:val="6D9A247D"/>
    <w:rsid w:val="6DE54739"/>
    <w:rsid w:val="6E035861"/>
    <w:rsid w:val="6E7F2DDF"/>
    <w:rsid w:val="6F7F2A05"/>
    <w:rsid w:val="6FBC6961"/>
    <w:rsid w:val="70A64653"/>
    <w:rsid w:val="71005E22"/>
    <w:rsid w:val="719E2F30"/>
    <w:rsid w:val="726B164D"/>
    <w:rsid w:val="72AC7F1B"/>
    <w:rsid w:val="72E0000C"/>
    <w:rsid w:val="73440153"/>
    <w:rsid w:val="7384322E"/>
    <w:rsid w:val="73C00D5D"/>
    <w:rsid w:val="74DD0860"/>
    <w:rsid w:val="74ED4A15"/>
    <w:rsid w:val="75AB7514"/>
    <w:rsid w:val="75C43E78"/>
    <w:rsid w:val="763C0907"/>
    <w:rsid w:val="76E67C25"/>
    <w:rsid w:val="77AD4E19"/>
    <w:rsid w:val="781C392B"/>
    <w:rsid w:val="7879089F"/>
    <w:rsid w:val="78A811EC"/>
    <w:rsid w:val="78E71CAD"/>
    <w:rsid w:val="792E1A22"/>
    <w:rsid w:val="796B625E"/>
    <w:rsid w:val="79A951B4"/>
    <w:rsid w:val="7A1B757A"/>
    <w:rsid w:val="7A642FB8"/>
    <w:rsid w:val="7B3B1E3C"/>
    <w:rsid w:val="7BC25D04"/>
    <w:rsid w:val="7CC66D6F"/>
    <w:rsid w:val="7D227540"/>
    <w:rsid w:val="7DC26892"/>
    <w:rsid w:val="7DEF0892"/>
    <w:rsid w:val="7E140A30"/>
    <w:rsid w:val="7E16171D"/>
    <w:rsid w:val="7EA31E30"/>
    <w:rsid w:val="7EB34790"/>
    <w:rsid w:val="7EB54DE5"/>
    <w:rsid w:val="7EC76812"/>
    <w:rsid w:val="7F37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font11"/>
    <w:basedOn w:val="10"/>
    <w:qFormat/>
    <w:uiPriority w:val="0"/>
    <w:rPr>
      <w:rFonts w:hint="eastAsia" w:ascii="宋体" w:hAnsi="宋体" w:eastAsia="宋体" w:cs="宋体"/>
      <w:color w:val="000000"/>
      <w:sz w:val="20"/>
      <w:szCs w:val="20"/>
      <w:u w:val="none"/>
    </w:rPr>
  </w:style>
  <w:style w:type="character" w:customStyle="1" w:styleId="12">
    <w:name w:val="font81"/>
    <w:basedOn w:val="10"/>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7d7ba729-d261-4f16-a29a-af70e2845951</errorID>
      <errorWord>-</errorWord>
      <group>L1_Format</group>
      <groupName>格式问题</groupName>
      <ability>L2_HalfPunc_CN</ability>
      <abilityName>全半角问题</abilityName>
      <candidateList>
        <item>－</item>
      </candidateList>
      <explain>文本全半角错误。</explain>
      <paraID> F4F36C8</paraID>
      <start>34</start>
      <end>35</end>
      <status>unmodified</status>
      <modifiedWord/>
      <trackRevisions>false</trackRevisions>
    </reviewItem>
    <reviewItem>
      <errorID>e47d02ad-0b0c-45bc-9fae-31134caad021</errorID>
      <errorWord>，</errorWord>
      <group>L1_Word</group>
      <groupName>字词问题</groupName>
      <ability>L2_Typo</ability>
      <abilityName>字词错误</abilityName>
      <candidateList>
        <item>，包</item>
      </candidateList>
      <explain/>
      <paraID>3FFC1381</paraID>
      <start>9</start>
      <end>10</end>
      <status>unmodified</status>
      <modifiedWord/>
      <trackRevisions>false</trackRevisions>
    </reviewItem>
    <reviewItem>
      <errorID>94a38bc2-9b89-44ef-8526-a35024d9d812</errorID>
      <errorWord>准</errorWord>
      <group>L1_Word</group>
      <groupName>字词问题</groupName>
      <ability>L2_Typo</ability>
      <abilityName>字词错误</abilityName>
      <candidateList>
        <item>准由</item>
      </candidateList>
      <explain/>
      <paraID>4298BA98</paraID>
      <start>29</start>
      <end>30</end>
      <status>unmodified</status>
      <modifiedWord/>
      <trackRevisions>false</trackRevisions>
    </reviewItem>
    <reviewItem>
      <errorID>81ae8d24-f3d7-457b-abfa-fe831e172bee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1101AE59</paraID>
      <start>0</start>
      <end>3</end>
      <status>unmodified</status>
      <modifiedWord/>
      <trackRevisions>false</trackRevisions>
    </reviewItem>
    <reviewItem>
      <errorID>be43a459-ba3b-4645-bf9d-029795cff777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18646D01</paraID>
      <start>0</start>
      <end>3</end>
      <status>unmodified</status>
      <modifiedWord/>
      <trackRevisions>false</trackRevisions>
    </reviewItem>
    <reviewItem>
      <errorID>864610ad-6665-4858-86ec-173e82100607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5F72F1C5</paraID>
      <start>0</start>
      <end>3</end>
      <status>unmodified</status>
      <modifiedWord/>
      <trackRevisions>false</trackRevisions>
    </reviewItem>
    <reviewItem>
      <errorID>ba8168b8-8cea-471b-9061-bc5db1382706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616F1273</paraID>
      <start>0</start>
      <end>3</end>
      <status>unmodified</status>
      <modifiedWord/>
      <trackRevisions>false</trackRevisions>
    </reviewItem>
    <reviewItem>
      <errorID>82410cda-67a7-48a3-97f8-64e5765ae8fa</errorID>
      <errorWord>:</errorWord>
      <group>L1_Format</group>
      <groupName>格式问题</groupName>
      <ability>L2_HalfPunc_CN</ability>
      <abilityName>全半角问题</abilityName>
      <candidateList>
        <item>：</item>
      </candidateList>
      <explain>文本全半角错误。</explain>
      <paraID>616F1273</paraID>
      <start>18</start>
      <end>19</end>
      <status>unmodified</status>
      <modifiedWord/>
      <trackRevisions>false</trackRevisions>
    </reviewItem>
    <reviewItem>
      <errorID>76a5a524-2dd4-455d-9938-ce2b2699d3a5</errorID>
      <errorWord>计</errorWord>
      <group>L1_Word</group>
      <groupName>字词问题</groupName>
      <ability>L2_Typo</ability>
      <abilityName>字词错误</abilityName>
      <candidateList>
        <item>计算</item>
      </candidateList>
      <explain/>
      <paraID>18F9046A</paraID>
      <start>36</start>
      <end>37</end>
      <status>unmodified</status>
      <modifiedWord/>
      <trackRevisions>false</trackRevisions>
    </reviewItem>
    <reviewItem>
      <errorID>44fefd98-923f-42d1-973e-da86314c13bc</errorID>
      <errorWord>(</errorWord>
      <group>L1_Format</group>
      <groupName>格式问题</groupName>
      <ability>L2_HalfPunc_CN</ability>
      <abilityName>全半角问题</abilityName>
      <candidateList>
        <item>（</item>
      </candidateList>
      <explain>文本全半角错误。</explain>
      <paraID>7EFB303C</paraID>
      <start>23</start>
      <end>24</end>
      <status>unmodified</status>
      <modifiedWord/>
      <trackRevisions>false</trackRevisions>
    </reviewItem>
    <reviewItem>
      <errorID>61333377-243c-4c29-a70b-6d60c15ec935</errorID>
      <errorWord>)</errorWord>
      <group>L1_Format</group>
      <groupName>格式问题</groupName>
      <ability>L2_HalfPunc_CN</ability>
      <abilityName>全半角问题</abilityName>
      <candidateList>
        <item>）</item>
      </candidateList>
      <explain>文本全半角错误。</explain>
      <paraID>7EFB303C</paraID>
      <start>31</start>
      <end>32</end>
      <status>unmodified</status>
      <modifiedWord/>
      <trackRevisions>false</trackRevisions>
    </reviewItem>
    <reviewItem>
      <errorID>0b020091-bd94-40a5-b398-afcf5e76479e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302379DE</paraID>
      <start>0</start>
      <end>3</end>
      <status>unmodified</status>
      <modifiedWord/>
      <trackRevisions>false</trackRevisions>
    </reviewItem>
    <reviewItem>
      <errorID>85ac48fb-0f80-4388-960b-873c40f407c7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B6D2DF7</paraID>
      <start>0</start>
      <end>3</end>
      <status>unmodified</status>
      <modifiedWord/>
      <trackRevisions>false</trackRevisions>
    </reviewItem>
    <reviewItem>
      <errorID>c7cfb4d6-9e61-45b1-80b6-b94e6699cbfe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1B906BBD</paraID>
      <start>0</start>
      <end>3</end>
      <status>unmodified</status>
      <modifiedWord/>
      <trackRevisions>false</trackRevisions>
    </reviewItem>
    <reviewItem>
      <errorID>f5a11f1f-06e7-44b7-bcfb-c5194455adc2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292DD97F</paraID>
      <start>0</start>
      <end>3</end>
      <status>unmodified</status>
      <modifiedWord/>
      <trackRevisions>false</trackRevisions>
    </reviewItem>
    <reviewItem>
      <errorID>605e8c68-edad-47f6-9fdc-dc4c305bdfd1</errorID>
      <errorWord>必需</errorWord>
      <group>L1_Word</group>
      <groupName>字词问题</groupName>
      <ability>L2_Typo</ability>
      <abilityName>字词错误</abilityName>
      <candidateList>
        <item>必须</item>
      </candidateList>
      <explain/>
      <paraID>21135FE1</paraID>
      <start>0</start>
      <end>2</end>
      <status>unmodified</status>
      <modifiedWord/>
      <trackRevisions>false</trackRevisions>
    </reviewItem>
    <reviewItem>
      <errorID>b6278f75-4ad0-48b1-a7cd-d83f003a7b6c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21135FE1</paraID>
      <start>50</start>
      <end>53</end>
      <status>unmodified</status>
      <modifiedWord/>
      <trackRevisions>false</trackRevisions>
    </reviewItem>
    <reviewItem>
      <errorID>f2f1fc09-94bd-4b8f-aaf5-4ca01ee6a04e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21135FE1</paraID>
      <start>60</start>
      <end>63</end>
      <status>unmodified</status>
      <modifiedWord/>
      <trackRevisions>false</trackRevisions>
    </reviewItem>
    <reviewItem>
      <errorID>6841f448-c249-430e-8801-b5bb7bc7a2f4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431DC343</paraID>
      <start>0</start>
      <end>3</end>
      <status>unmodified</status>
      <modifiedWord/>
      <trackRevisions>false</trackRevisions>
    </reviewItem>
    <reviewItem>
      <errorID>06c0124d-7fd7-4dbe-955d-b39b6c574556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3F57848D</paraID>
      <start>0</start>
      <end>3</end>
      <status>unmodified</status>
      <modifiedWord/>
      <trackRevisions>false</trackRevisions>
    </reviewItem>
    <reviewItem>
      <errorID>57c5b946-09f8-4516-9e4a-f8a2dbf70c08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3BA42AA6</paraID>
      <start>0</start>
      <end>3</end>
      <status>unmodified</status>
      <modifiedWord/>
      <trackRevisions>false</trackRevisions>
    </reviewItem>
    <reviewItem>
      <errorID>96d8ec6a-1c9c-40ee-b267-6f0e85d0ec12</errorID>
      <errorWord>,</errorWord>
      <group>L1_Format</group>
      <groupName>格式问题</groupName>
      <ability>L2_HalfPunc_CN</ability>
      <abilityName>全半角问题</abilityName>
      <candidateList>
        <item>，</item>
      </candidateList>
      <explain>文本全半角错误。</explain>
      <paraID>285CACF0</paraID>
      <start>15</start>
      <end>16</end>
      <status>unmodified</status>
      <modifiedWord/>
      <trackRevisions>false</trackRevisions>
    </reviewItem>
    <reviewItem>
      <errorID>c8859fdc-7941-4d67-aadf-46fbbfe747c7</errorID>
      <errorWord>做为</errorWord>
      <group>L1_Word</group>
      <groupName>字词问题</groupName>
      <ability>L2_Typo</ability>
      <abilityName>字词错误</abilityName>
      <candidateList>
        <item>作为</item>
      </candidateList>
      <explain>存在发音相同字词的误用。</explain>
      <paraID>5E1AC264</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8a06bec7-4edc-4112-bd8b-ae13e613ad7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8788</Words>
  <Characters>9020</Characters>
  <Lines>67</Lines>
  <Paragraphs>19</Paragraphs>
  <TotalTime>0</TotalTime>
  <ScaleCrop>false</ScaleCrop>
  <LinksUpToDate>false</LinksUpToDate>
  <CharactersWithSpaces>9096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2026-07-14T13:48:00Z</dcterms:created>
  <dc:creator>longquan</dc:creator>
  <cp:lastModifiedBy>佚名</cp:lastModifiedBy>
  <dcterms:modified xsi:type="dcterms:W3CDTF">2026-07-15T01:36:23Z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eyJoZGlkIjoiY2E2ZjU0MDNlZGVjZTg0MGIzZTY5ODJhNjllYjk2NDIiLCJ1c2VySWQiOiIxMTQ5NTU1OTM2In0=</vt:lpwstr>
  </property>
  <property fmtid="{D5CDD505-2E9C-101B-9397-08002B2CF9AE}" pid="4" name="ICV">
    <vt:lpwstr>17F7EDA1577841A08BEBBA4123C64FD7_12</vt:lpwstr>
  </property>
</Properties>
</file>