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宋体" w:hAnsi="宋体" w:eastAsia="宋体" w:cs="宋体"/>
          <w:kern w:val="2"/>
          <w:sz w:val="32"/>
          <w:szCs w:val="36"/>
          <w:lang w:val="en-US" w:eastAsia="zh-CN" w:bidi="ar-SA"/>
        </w:rPr>
        <w:id w:val="147482362"/>
        <w15:color w:val="DBDBDB"/>
        <w:docPartObj>
          <w:docPartGallery w:val="Table of Contents"/>
          <w:docPartUnique/>
        </w:docPartObj>
      </w:sdtPr>
      <w:sdtEndPr>
        <w:rPr>
          <w:rFonts w:hint="eastAsia" w:ascii="宋体" w:hAnsi="宋体" w:eastAsia="宋体" w:cs="宋体"/>
          <w:b/>
          <w:bCs/>
          <w:caps/>
          <w:kern w:val="2"/>
          <w:sz w:val="20"/>
          <w:szCs w:val="22"/>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sz w:val="32"/>
              <w:szCs w:val="36"/>
            </w:rPr>
          </w:pPr>
          <w:r>
            <w:rPr>
              <w:rFonts w:hint="eastAsia" w:ascii="宋体" w:hAnsi="宋体" w:eastAsia="宋体" w:cs="宋体"/>
              <w:sz w:val="32"/>
              <w:szCs w:val="36"/>
            </w:rPr>
            <w:t>目录</w:t>
          </w:r>
        </w:p>
        <w:p>
          <w:pPr>
            <w:pStyle w:val="6"/>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"1-2"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_Toc17479 </w:instrText>
          </w:r>
          <w:r>
            <w:rPr>
              <w:rFonts w:hint="eastAsia" w:ascii="宋体" w:hAnsi="宋体" w:eastAsia="宋体" w:cs="宋体"/>
              <w:sz w:val="28"/>
              <w:szCs w:val="28"/>
            </w:rPr>
            <w:fldChar w:fldCharType="separate"/>
          </w:r>
          <w:r>
            <w:rPr>
              <w:rFonts w:hint="eastAsia" w:ascii="宋体" w:hAnsi="宋体" w:eastAsia="宋体" w:cs="宋体"/>
              <w:sz w:val="28"/>
              <w:szCs w:val="28"/>
            </w:rPr>
            <w:t>一、 项目建设内容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_Toc17479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_Toc5101 </w:instrText>
          </w:r>
          <w:r>
            <w:rPr>
              <w:rFonts w:hint="eastAsia" w:ascii="宋体" w:hAnsi="宋体" w:eastAsia="宋体" w:cs="宋体"/>
              <w:sz w:val="28"/>
              <w:szCs w:val="28"/>
            </w:rPr>
            <w:fldChar w:fldCharType="separate"/>
          </w:r>
          <w:r>
            <w:rPr>
              <w:rFonts w:hint="eastAsia" w:ascii="宋体" w:hAnsi="宋体" w:eastAsia="宋体" w:cs="宋体"/>
              <w:bCs/>
              <w:kern w:val="44"/>
              <w:sz w:val="28"/>
              <w:szCs w:val="28"/>
              <w:lang w:val="en-US" w:eastAsia="zh-CN"/>
            </w:rPr>
            <w:t>二、 项目建设具体需求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_Toc5101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7"/>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_Toc10570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lang w:val="en-US" w:eastAsia="zh-CN"/>
            </w:rPr>
            <w:t>（一）</w:t>
          </w:r>
          <w:r>
            <w:rPr>
              <w:rFonts w:hint="eastAsia" w:ascii="宋体" w:hAnsi="宋体" w:eastAsia="宋体" w:cs="宋体"/>
              <w:kern w:val="2"/>
              <w:sz w:val="28"/>
              <w:szCs w:val="28"/>
              <w:highlight w:val="none"/>
              <w:lang w:val="en-US" w:eastAsia="zh-CN"/>
            </w:rPr>
            <w:t>财</w:t>
          </w:r>
          <w:r>
            <w:rPr>
              <w:rFonts w:hint="eastAsia" w:ascii="宋体" w:hAnsi="宋体" w:eastAsia="宋体" w:cs="宋体"/>
              <w:kern w:val="2"/>
              <w:sz w:val="28"/>
              <w:szCs w:val="28"/>
              <w:highlight w:val="none"/>
            </w:rPr>
            <w:t>务</w:t>
          </w:r>
          <w:r>
            <w:rPr>
              <w:rFonts w:hint="eastAsia" w:ascii="宋体" w:hAnsi="宋体" w:eastAsia="宋体" w:cs="宋体"/>
              <w:kern w:val="2"/>
              <w:sz w:val="28"/>
              <w:szCs w:val="28"/>
              <w:highlight w:val="none"/>
              <w:lang w:val="en-US" w:eastAsia="zh-CN"/>
            </w:rPr>
            <w:t>核算</w:t>
          </w:r>
          <w:r>
            <w:rPr>
              <w:rFonts w:hint="eastAsia" w:ascii="宋体" w:hAnsi="宋体" w:eastAsia="宋体" w:cs="宋体"/>
              <w:kern w:val="2"/>
              <w:sz w:val="28"/>
              <w:szCs w:val="28"/>
              <w:highlight w:val="none"/>
            </w:rPr>
            <w:t>管理</w:t>
          </w:r>
          <w:r>
            <w:rPr>
              <w:rFonts w:hint="eastAsia" w:ascii="宋体" w:hAnsi="宋体" w:eastAsia="宋体" w:cs="宋体"/>
              <w:kern w:val="2"/>
              <w:sz w:val="28"/>
              <w:szCs w:val="28"/>
              <w:highlight w:val="none"/>
              <w:lang w:val="en-US" w:eastAsia="zh-CN"/>
            </w:rPr>
            <w:t>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_Toc10570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7"/>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_Toc25913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（二）成本核算系统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_Toc25913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_Toc25221 </w:instrText>
          </w:r>
          <w:r>
            <w:rPr>
              <w:rFonts w:hint="eastAsia" w:ascii="宋体" w:hAnsi="宋体" w:eastAsia="宋体" w:cs="宋体"/>
              <w:sz w:val="28"/>
              <w:szCs w:val="28"/>
            </w:rPr>
            <w:fldChar w:fldCharType="separate"/>
          </w:r>
          <w:r>
            <w:rPr>
              <w:rFonts w:hint="eastAsia" w:ascii="宋体" w:hAnsi="宋体" w:eastAsia="宋体" w:cs="宋体"/>
              <w:bCs/>
              <w:kern w:val="44"/>
              <w:sz w:val="28"/>
              <w:szCs w:val="28"/>
              <w:lang w:val="en-US" w:eastAsia="zh-CN" w:bidi="ar-SA"/>
            </w:rPr>
            <w:t xml:space="preserve">三、 </w:t>
          </w:r>
          <w:r>
            <w:rPr>
              <w:rFonts w:hint="eastAsia" w:ascii="宋体" w:hAnsi="宋体" w:eastAsia="宋体" w:cs="宋体"/>
              <w:sz w:val="28"/>
              <w:szCs w:val="28"/>
              <w:lang w:val="en-US" w:eastAsia="zh-CN"/>
            </w:rPr>
            <w:t>非功能性需求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_Toc25221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7"/>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_Toc10183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（一）系统技术要求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_Toc10183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7"/>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_Toc28485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（二）系统运行指标要求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_Toc28485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7"/>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_Toc9967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（三）系统安全说明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_Toc9967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7"/>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_Toc6582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（四）系统可靠性、可用性与可维护性</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_Toc6582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_Toc26493 </w:instrText>
          </w:r>
          <w:r>
            <w:rPr>
              <w:rFonts w:hint="eastAsia" w:ascii="宋体" w:hAnsi="宋体" w:eastAsia="宋体" w:cs="宋体"/>
              <w:sz w:val="28"/>
              <w:szCs w:val="28"/>
            </w:rPr>
            <w:fldChar w:fldCharType="separate"/>
          </w:r>
          <w:r>
            <w:rPr>
              <w:rFonts w:hint="eastAsia" w:ascii="宋体" w:hAnsi="宋体" w:eastAsia="宋体" w:cs="宋体"/>
              <w:bCs/>
              <w:kern w:val="44"/>
              <w:sz w:val="28"/>
              <w:szCs w:val="28"/>
              <w:lang w:val="en-US" w:eastAsia="zh-CN"/>
            </w:rPr>
            <w:t>四、 项目实施与服务</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_Toc26493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rPr>
          </w:pPr>
          <w:r>
            <w:rPr>
              <w:rFonts w:hint="eastAsia" w:ascii="宋体" w:hAnsi="宋体" w:eastAsia="宋体" w:cs="宋体"/>
              <w:sz w:val="28"/>
              <w:szCs w:val="28"/>
            </w:rPr>
            <w:fldChar w:fldCharType="end"/>
          </w:r>
        </w:p>
      </w:sdtContent>
    </w:sdt>
    <w:p>
      <w:pPr>
        <w:pStyle w:val="6"/>
        <w:tabs>
          <w:tab w:val="right" w:leader="dot" w:pos="8306"/>
        </w:tabs>
        <w:rPr>
          <w:rFonts w:hint="eastAsia" w:ascii="宋体" w:hAnsi="宋体" w:eastAsia="宋体" w:cs="宋体"/>
        </w:rPr>
      </w:pPr>
    </w:p>
    <w:p>
      <w:pPr>
        <w:pStyle w:val="6"/>
        <w:tabs>
          <w:tab w:val="right" w:leader="dot" w:pos="8306"/>
        </w:tabs>
        <w:rPr>
          <w:rFonts w:hint="eastAsia" w:ascii="宋体" w:hAnsi="宋体" w:eastAsia="宋体" w:cs="宋体"/>
        </w:rPr>
      </w:pPr>
    </w:p>
    <w:p>
      <w:pPr>
        <w:jc w:val="left"/>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br w:type="page"/>
      </w:r>
    </w:p>
    <w:p>
      <w:pPr>
        <w:pStyle w:val="2"/>
        <w:numPr>
          <w:ilvl w:val="0"/>
          <w:numId w:val="1"/>
        </w:numPr>
        <w:bidi w:val="0"/>
        <w:rPr>
          <w:rFonts w:hint="eastAsia"/>
        </w:rPr>
      </w:pPr>
      <w:bookmarkStart w:id="0" w:name="_Toc17479"/>
      <w:bookmarkStart w:id="1" w:name="_Toc18335"/>
      <w:bookmarkStart w:id="2" w:name="_Toc27255"/>
      <w:r>
        <w:rPr>
          <w:rFonts w:hint="eastAsia"/>
        </w:rPr>
        <w:t>项目建设内容</w:t>
      </w:r>
      <w:bookmarkEnd w:id="0"/>
      <w:bookmarkEnd w:id="1"/>
      <w:bookmarkEnd w:id="2"/>
    </w:p>
    <w:p>
      <w:pPr>
        <w:pStyle w:val="3"/>
        <w:numPr>
          <w:ilvl w:val="-1"/>
          <w:numId w:val="0"/>
        </w:numPr>
        <w:bidi w:val="0"/>
        <w:ind w:firstLine="482" w:firstLineChars="200"/>
        <w:rPr>
          <w:rFonts w:hint="eastAsia"/>
          <w:lang w:val="en-US" w:eastAsia="zh-CN"/>
        </w:rPr>
      </w:pPr>
      <w:bookmarkStart w:id="3" w:name="_Toc13521"/>
      <w:bookmarkStart w:id="4" w:name="_Toc5101"/>
      <w:bookmarkStart w:id="5" w:name="_Toc7792"/>
      <w:r>
        <w:rPr>
          <w:rFonts w:hint="eastAsia" w:ascii="宋体" w:hAnsi="宋体"/>
          <w:sz w:val="24"/>
          <w:szCs w:val="24"/>
        </w:rPr>
        <w:t>医院原有财务信息化系统已无法满足新时代</w:t>
      </w:r>
      <w:r>
        <w:rPr>
          <w:rFonts w:hint="eastAsia" w:ascii="宋体" w:hAnsi="宋体"/>
          <w:sz w:val="24"/>
          <w:szCs w:val="24"/>
          <w:lang w:val="en-US" w:eastAsia="zh-CN"/>
        </w:rPr>
        <w:t>医院</w:t>
      </w:r>
      <w:r>
        <w:rPr>
          <w:rFonts w:hint="eastAsia" w:ascii="宋体" w:hAnsi="宋体"/>
          <w:sz w:val="24"/>
          <w:szCs w:val="24"/>
        </w:rPr>
        <w:t>财务管理的需求，</w:t>
      </w:r>
      <w:r>
        <w:rPr>
          <w:rFonts w:hint="eastAsia" w:ascii="宋体" w:hAnsi="宋体"/>
          <w:sz w:val="24"/>
          <w:szCs w:val="24"/>
          <w:lang w:eastAsia="zh-CN"/>
        </w:rPr>
        <w:t>拟建设一体化</w:t>
      </w:r>
      <w:r>
        <w:rPr>
          <w:rFonts w:hint="eastAsia" w:ascii="宋体" w:hAnsi="宋体"/>
          <w:sz w:val="24"/>
          <w:szCs w:val="24"/>
        </w:rPr>
        <w:t>智慧财务管理信息系统</w:t>
      </w:r>
      <w:r>
        <w:rPr>
          <w:rFonts w:hint="eastAsia" w:ascii="宋体" w:hAnsi="宋体"/>
          <w:sz w:val="24"/>
          <w:szCs w:val="24"/>
          <w:lang w:eastAsia="zh-CN"/>
        </w:rPr>
        <w:t>。</w:t>
      </w:r>
      <w:r>
        <w:rPr>
          <w:rFonts w:hint="eastAsia"/>
          <w:lang w:val="en-US" w:eastAsia="zh-CN"/>
        </w:rPr>
        <w:t>本次采购的建设内容主要包括：财务核算管理系统、全成本核算系统（含科室成本核算、项目成本核算、病种（DRG）成本核算）。</w:t>
      </w:r>
    </w:p>
    <w:p>
      <w:pPr>
        <w:pStyle w:val="2"/>
        <w:numPr>
          <w:ilvl w:val="0"/>
          <w:numId w:val="1"/>
        </w:numPr>
        <w:bidi w:val="0"/>
        <w:rPr>
          <w:rFonts w:hint="eastAsia"/>
          <w:lang w:val="en-US" w:eastAsia="zh-CN"/>
        </w:rPr>
      </w:pPr>
      <w:r>
        <w:rPr>
          <w:rFonts w:hint="eastAsia"/>
          <w:lang w:val="en-US" w:eastAsia="zh-CN"/>
        </w:rPr>
        <w:t>项目建设具体需求</w:t>
      </w:r>
      <w:bookmarkEnd w:id="3"/>
      <w:bookmarkEnd w:id="4"/>
    </w:p>
    <w:p>
      <w:pPr>
        <w:pStyle w:val="3"/>
        <w:numPr>
          <w:ilvl w:val="-1"/>
          <w:numId w:val="0"/>
        </w:numPr>
        <w:bidi w:val="0"/>
        <w:ind w:left="420" w:firstLine="0" w:firstLineChars="0"/>
        <w:rPr>
          <w:rFonts w:hint="eastAsia" w:ascii="宋体" w:hAnsi="宋体" w:eastAsia="宋体" w:cs="宋体"/>
          <w:color w:val="auto"/>
          <w:szCs w:val="24"/>
          <w:highlight w:val="none"/>
          <w:lang w:val="en-US" w:eastAsia="zh-CN"/>
        </w:rPr>
      </w:pPr>
      <w:bookmarkStart w:id="6" w:name="_Toc10570"/>
      <w:bookmarkStart w:id="7" w:name="_Toc2088"/>
      <w:r>
        <w:rPr>
          <w:rFonts w:hint="eastAsia" w:ascii="宋体" w:hAnsi="宋体" w:eastAsia="宋体" w:cs="宋体"/>
          <w:color w:val="auto"/>
          <w:szCs w:val="24"/>
          <w:highlight w:val="none"/>
          <w:lang w:val="en-US" w:eastAsia="zh-CN"/>
        </w:rPr>
        <w:t>（一）</w:t>
      </w:r>
      <w:r>
        <w:rPr>
          <w:rFonts w:hint="eastAsia" w:ascii="宋体" w:hAnsi="宋体" w:eastAsia="宋体" w:cs="宋体"/>
          <w:color w:val="auto"/>
          <w:kern w:val="2"/>
          <w:sz w:val="24"/>
          <w:szCs w:val="24"/>
          <w:highlight w:val="none"/>
          <w:lang w:val="en-US" w:eastAsia="zh-CN"/>
        </w:rPr>
        <w:t>财</w:t>
      </w:r>
      <w:r>
        <w:rPr>
          <w:rFonts w:hint="eastAsia" w:ascii="宋体" w:hAnsi="宋体" w:eastAsia="宋体" w:cs="宋体"/>
          <w:color w:val="auto"/>
          <w:kern w:val="2"/>
          <w:sz w:val="24"/>
          <w:szCs w:val="24"/>
          <w:highlight w:val="none"/>
        </w:rPr>
        <w:t>务</w:t>
      </w:r>
      <w:r>
        <w:rPr>
          <w:rFonts w:hint="eastAsia" w:ascii="宋体" w:hAnsi="宋体" w:eastAsia="宋体" w:cs="宋体"/>
          <w:color w:val="auto"/>
          <w:kern w:val="2"/>
          <w:sz w:val="24"/>
          <w:szCs w:val="24"/>
          <w:highlight w:val="none"/>
          <w:lang w:val="en-US" w:eastAsia="zh-CN"/>
        </w:rPr>
        <w:t>核算</w:t>
      </w:r>
      <w:r>
        <w:rPr>
          <w:rFonts w:hint="eastAsia" w:ascii="宋体" w:hAnsi="宋体" w:eastAsia="宋体" w:cs="宋体"/>
          <w:color w:val="auto"/>
          <w:kern w:val="2"/>
          <w:sz w:val="24"/>
          <w:szCs w:val="24"/>
          <w:highlight w:val="none"/>
        </w:rPr>
        <w:t>管理</w:t>
      </w:r>
      <w:r>
        <w:rPr>
          <w:rFonts w:hint="eastAsia" w:ascii="宋体" w:hAnsi="宋体" w:eastAsia="宋体" w:cs="宋体"/>
          <w:color w:val="auto"/>
          <w:kern w:val="2"/>
          <w:sz w:val="24"/>
          <w:szCs w:val="24"/>
          <w:highlight w:val="none"/>
          <w:lang w:val="en-US" w:eastAsia="zh-CN"/>
        </w:rPr>
        <w:t>系统</w:t>
      </w:r>
      <w:bookmarkEnd w:id="6"/>
      <w:bookmarkEnd w:id="7"/>
    </w:p>
    <w:tbl>
      <w:tblPr>
        <w:tblStyle w:val="9"/>
        <w:tblW w:w="4930" w:type="pct"/>
        <w:tblInd w:w="-306" w:type="dxa"/>
        <w:tblLayout w:type="fixed"/>
        <w:tblCellMar>
          <w:top w:w="0" w:type="dxa"/>
          <w:left w:w="108" w:type="dxa"/>
          <w:bottom w:w="0" w:type="dxa"/>
          <w:right w:w="108" w:type="dxa"/>
        </w:tblCellMar>
      </w:tblPr>
      <w:tblGrid>
        <w:gridCol w:w="1065"/>
        <w:gridCol w:w="7338"/>
      </w:tblGrid>
      <w:tr>
        <w:tblPrEx>
          <w:tblCellMar>
            <w:top w:w="0" w:type="dxa"/>
            <w:left w:w="108" w:type="dxa"/>
            <w:bottom w:w="0" w:type="dxa"/>
            <w:right w:w="108" w:type="dxa"/>
          </w:tblCellMar>
        </w:tblPrEx>
        <w:trPr>
          <w:trHeight w:val="90" w:hRule="atLeast"/>
        </w:trPr>
        <w:tc>
          <w:tcPr>
            <w:tcW w:w="633"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名称</w:t>
            </w:r>
          </w:p>
        </w:tc>
        <w:tc>
          <w:tcPr>
            <w:tcW w:w="4366" w:type="pct"/>
            <w:tcBorders>
              <w:top w:val="single" w:color="auto" w:sz="4" w:space="0"/>
              <w:left w:val="single" w:color="auto" w:sz="4" w:space="0"/>
              <w:bottom w:val="single" w:color="auto" w:sz="4" w:space="0"/>
              <w:right w:val="single" w:color="auto" w:sz="4" w:space="0"/>
            </w:tcBorders>
          </w:tcPr>
          <w:p>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b/>
                <w:bCs/>
                <w:color w:val="FF0000"/>
                <w:kern w:val="0"/>
                <w:sz w:val="21"/>
                <w:szCs w:val="21"/>
                <w:lang w:val="en-US" w:eastAsia="zh-CN"/>
              </w:rPr>
            </w:pPr>
            <w:r>
              <w:rPr>
                <w:rFonts w:hint="eastAsia" w:ascii="宋体" w:hAnsi="宋体" w:eastAsia="宋体" w:cs="宋体"/>
                <w:b/>
                <w:bCs/>
                <w:kern w:val="0"/>
                <w:sz w:val="21"/>
                <w:szCs w:val="21"/>
                <w:lang w:val="en-US" w:eastAsia="zh-CN"/>
              </w:rPr>
              <w:t>需求参数</w:t>
            </w:r>
          </w:p>
        </w:tc>
      </w:tr>
      <w:tr>
        <w:tblPrEx>
          <w:tblCellMar>
            <w:top w:w="0" w:type="dxa"/>
            <w:left w:w="108" w:type="dxa"/>
            <w:bottom w:w="0" w:type="dxa"/>
            <w:right w:w="108" w:type="dxa"/>
          </w:tblCellMar>
        </w:tblPrEx>
        <w:trPr>
          <w:trHeight w:val="90" w:hRule="atLeast"/>
        </w:trPr>
        <w:tc>
          <w:tcPr>
            <w:tcW w:w="633"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总账系统</w:t>
            </w:r>
          </w:p>
        </w:tc>
        <w:tc>
          <w:tcPr>
            <w:tcW w:w="4366" w:type="pct"/>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right="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（1）按照</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政府会计制度</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的要求进行账务处理，帮助优化目前的会计科目体系、辅助核算及账表查询功能。在一套财务核算账簿的模式之下，搭建财务会计科目+预算会计科目的会计科目体系，</w:t>
            </w:r>
            <w:r>
              <w:rPr>
                <w:rFonts w:hint="eastAsia" w:ascii="宋体" w:hAnsi="宋体" w:eastAsia="宋体" w:cs="宋体"/>
                <w:color w:val="000000"/>
                <w:kern w:val="0"/>
                <w:sz w:val="21"/>
                <w:szCs w:val="21"/>
              </w:rPr>
              <w:t>预置标准的财务会计科目和预算会计科目</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提供平行记账功能，</w:t>
            </w:r>
            <w:r>
              <w:rPr>
                <w:rFonts w:hint="eastAsia" w:ascii="宋体" w:hAnsi="宋体" w:eastAsia="宋体" w:cs="宋体"/>
                <w:color w:val="000000"/>
                <w:kern w:val="0"/>
                <w:sz w:val="21"/>
                <w:szCs w:val="21"/>
                <w:lang w:val="en-US" w:eastAsia="zh-CN"/>
              </w:rPr>
              <w:t>凭证制单节点显示财务会计和预算会计两个凭证界面，</w:t>
            </w:r>
            <w:r>
              <w:rPr>
                <w:rFonts w:hint="eastAsia" w:ascii="宋体" w:hAnsi="宋体" w:eastAsia="宋体" w:cs="宋体"/>
                <w:color w:val="000000"/>
                <w:kern w:val="0"/>
                <w:sz w:val="21"/>
                <w:szCs w:val="21"/>
              </w:rPr>
              <w:t>支持在同一个凭证中处理财务凭证和预算凭证</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对平行记账的经济业务根据财务会计凭证自动生成预算会计凭证</w:t>
            </w:r>
            <w:r>
              <w:rPr>
                <w:rFonts w:hint="eastAsia" w:ascii="宋体" w:hAnsi="宋体" w:eastAsia="宋体" w:cs="宋体"/>
                <w:color w:val="000000"/>
                <w:kern w:val="0"/>
                <w:sz w:val="21"/>
                <w:szCs w:val="21"/>
              </w:rPr>
              <w:t>；自动出具财务会计与预算会计差异分析表</w:t>
            </w:r>
            <w:r>
              <w:rPr>
                <w:rFonts w:hint="eastAsia" w:ascii="宋体" w:hAnsi="宋体" w:eastAsia="宋体" w:cs="宋体"/>
                <w:color w:val="000000"/>
                <w:kern w:val="0"/>
                <w:sz w:val="21"/>
                <w:szCs w:val="21"/>
                <w:lang w:eastAsia="zh-CN"/>
              </w:rPr>
              <w:t>。</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2）业务系统自动生成的财务凭证根据凭证中会计科目性质自动判断和生成预算会计凭证。根据财务会计科目形成财务会计账，出具财务会计报表，根据预算会计科目形成预算会计账和决算报告。可通过与HIS收入、材料药品、资产设备、人力资源等系统的一体化集成与整合，实现财务对医院经济运行全过程的跟踪、监督与分析。</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（3）总账系统</w:t>
            </w:r>
            <w:r>
              <w:rPr>
                <w:rFonts w:hint="eastAsia" w:ascii="宋体" w:hAnsi="宋体" w:eastAsia="宋体" w:cs="宋体"/>
                <w:color w:val="000000"/>
                <w:kern w:val="0"/>
                <w:sz w:val="21"/>
                <w:szCs w:val="21"/>
              </w:rPr>
              <w:t>负责完成日常的制单、审核、记账、月末结转、结账工作，完成医院的全部财务核算工作以及帮助医院进行项目、部门</w:t>
            </w:r>
            <w:r>
              <w:rPr>
                <w:rFonts w:hint="eastAsia" w:ascii="宋体" w:hAnsi="宋体" w:eastAsia="宋体" w:cs="宋体"/>
                <w:color w:val="000000"/>
                <w:kern w:val="0"/>
                <w:sz w:val="21"/>
                <w:szCs w:val="21"/>
                <w:lang w:val="en-US" w:eastAsia="zh-CN"/>
              </w:rPr>
              <w:t>等多种辅助</w:t>
            </w:r>
            <w:r>
              <w:rPr>
                <w:rFonts w:hint="eastAsia" w:ascii="宋体" w:hAnsi="宋体" w:eastAsia="宋体" w:cs="宋体"/>
                <w:color w:val="000000"/>
                <w:kern w:val="0"/>
                <w:sz w:val="21"/>
                <w:szCs w:val="21"/>
              </w:rPr>
              <w:t>核算管理工作。系统支持多币种核算，支持任意会计期间及会计科目变更,支持</w:t>
            </w:r>
            <w:r>
              <w:rPr>
                <w:rFonts w:hint="eastAsia" w:ascii="宋体" w:hAnsi="宋体" w:eastAsia="宋体" w:cs="宋体"/>
                <w:color w:val="000000"/>
                <w:kern w:val="0"/>
                <w:sz w:val="21"/>
                <w:szCs w:val="21"/>
                <w:lang w:val="en-US" w:eastAsia="zh-CN"/>
              </w:rPr>
              <w:t>不同主体</w:t>
            </w:r>
            <w:r>
              <w:rPr>
                <w:rFonts w:hint="eastAsia" w:ascii="宋体" w:hAnsi="宋体" w:eastAsia="宋体" w:cs="宋体"/>
                <w:color w:val="000000"/>
                <w:kern w:val="0"/>
                <w:sz w:val="21"/>
                <w:szCs w:val="21"/>
              </w:rPr>
              <w:t>多账簿核算</w:t>
            </w:r>
            <w:r>
              <w:rPr>
                <w:rFonts w:hint="eastAsia" w:ascii="宋体" w:hAnsi="宋体" w:eastAsia="宋体" w:cs="宋体"/>
                <w:color w:val="000000"/>
                <w:kern w:val="0"/>
                <w:sz w:val="21"/>
                <w:szCs w:val="21"/>
                <w:lang w:eastAsia="zh-CN"/>
              </w:rPr>
              <w:t>。</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完成医院的全部财务核算工作以及帮助医院实现科教、财政、其他项目，收支余的管理工作，做到专款专用，全流程监督项目执行情况，明细核算到科室单元，做好科室的核算管理工作</w:t>
            </w:r>
            <w:r>
              <w:rPr>
                <w:rFonts w:hint="eastAsia" w:ascii="宋体" w:hAnsi="宋体" w:eastAsia="宋体" w:cs="宋体"/>
                <w:color w:val="000000"/>
                <w:kern w:val="0"/>
                <w:sz w:val="21"/>
                <w:szCs w:val="21"/>
                <w:lang w:eastAsia="zh-CN"/>
              </w:rPr>
              <w:t>。</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w:t>
            </w:r>
            <w:bookmarkStart w:id="8" w:name="OLE_LINK2"/>
            <w:r>
              <w:rPr>
                <w:rFonts w:hint="eastAsia" w:ascii="宋体" w:hAnsi="宋体" w:eastAsia="宋体" w:cs="宋体"/>
                <w:color w:val="000000"/>
                <w:kern w:val="0"/>
                <w:sz w:val="21"/>
                <w:szCs w:val="21"/>
              </w:rPr>
              <w:t>《</w:t>
            </w:r>
            <w:bookmarkEnd w:id="8"/>
            <w:r>
              <w:rPr>
                <w:rFonts w:hint="eastAsia" w:ascii="宋体" w:hAnsi="宋体" w:eastAsia="宋体" w:cs="宋体"/>
                <w:color w:val="000000"/>
                <w:kern w:val="0"/>
                <w:sz w:val="21"/>
                <w:szCs w:val="21"/>
              </w:rPr>
              <w:t>政府会计制度》的规范要求</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根据业务规则，通过与系统各模块间数据集成对接能够完成各业务系统自动生成财务会计凭证和预算凭证。支持对接第三方业务系统单据，根据规则配置，自动生成会计凭证，并转换生成预算会计凭证</w:t>
            </w:r>
            <w:r>
              <w:rPr>
                <w:rFonts w:hint="eastAsia" w:ascii="宋体" w:hAnsi="宋体" w:eastAsia="宋体" w:cs="宋体"/>
                <w:color w:val="000000"/>
                <w:kern w:val="0"/>
                <w:sz w:val="21"/>
                <w:szCs w:val="21"/>
                <w:lang w:eastAsia="zh-CN"/>
              </w:rPr>
              <w:t>。</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（6）支持当年度已经设置好的基础信息（包括但不限于财务会计科目、预算会计科目、现金流量、项目名称、供应商名称、职工、部门等）在会计年度结转至下一年时，能够自动延续至下一年。</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（7）支持在保存凭证时，凭证必须是内容完整的。不会出现凭证摘要、会计科目、必须填入的辅助核算等信息空白但仍保存成功的情况。</w:t>
            </w:r>
          </w:p>
          <w:p>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（8）支持可跨年度查询凭证及各种报表，包括但不限于科目余额表、辅助账、三栏明细账等各类账表。</w:t>
            </w:r>
          </w:p>
          <w:p>
            <w:pPr>
              <w:widowControl/>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（9）满足</w:t>
            </w:r>
            <w:r>
              <w:rPr>
                <w:rFonts w:hint="eastAsia" w:ascii="宋体" w:hAnsi="宋体" w:eastAsia="宋体" w:cs="宋体"/>
                <w:color w:val="000000"/>
                <w:kern w:val="0"/>
                <w:sz w:val="21"/>
                <w:szCs w:val="21"/>
              </w:rPr>
              <w:t>医院进行基本财务核算以及对外报告的需要</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支持期初余额录入与上年年末余额自动结转本年年初余额</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实现凭证录入、审核、记账、出纳签字等会计核算流程</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支持通过Excel等电子表格按系统模板导入会计凭证</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支持新政府会计制度平行记账，本年盈余差异自动校验及自动分析</w:t>
            </w:r>
            <w:r>
              <w:rPr>
                <w:rFonts w:hint="eastAsia" w:ascii="宋体" w:hAnsi="宋体" w:eastAsia="宋体" w:cs="宋体"/>
                <w:color w:val="000000"/>
                <w:kern w:val="0"/>
                <w:sz w:val="21"/>
                <w:szCs w:val="21"/>
                <w:lang w:eastAsia="zh-CN"/>
              </w:rPr>
              <w:t>。提供包括</w:t>
            </w:r>
            <w:r>
              <w:rPr>
                <w:rFonts w:hint="eastAsia" w:ascii="宋体" w:hAnsi="宋体" w:eastAsia="宋体" w:cs="宋体"/>
                <w:color w:val="000000"/>
                <w:kern w:val="0"/>
                <w:sz w:val="21"/>
                <w:szCs w:val="21"/>
                <w:lang w:val="en-US" w:eastAsia="zh-CN"/>
              </w:rPr>
              <w:t>科目余额表、</w:t>
            </w:r>
            <w:r>
              <w:rPr>
                <w:rFonts w:hint="eastAsia" w:ascii="宋体" w:hAnsi="宋体" w:eastAsia="宋体" w:cs="宋体"/>
                <w:color w:val="000000"/>
                <w:kern w:val="0"/>
                <w:sz w:val="21"/>
                <w:szCs w:val="21"/>
                <w:lang w:eastAsia="zh-CN"/>
              </w:rPr>
              <w:t>序时账、三栏式总账、三栏式明细账、</w:t>
            </w:r>
            <w:r>
              <w:rPr>
                <w:rFonts w:hint="eastAsia" w:ascii="宋体" w:hAnsi="宋体" w:eastAsia="宋体" w:cs="宋体"/>
                <w:color w:val="000000"/>
                <w:kern w:val="0"/>
                <w:sz w:val="21"/>
                <w:szCs w:val="21"/>
                <w:lang w:val="en-US" w:eastAsia="zh-CN"/>
              </w:rPr>
              <w:t>辅助余额表、</w:t>
            </w:r>
            <w:r>
              <w:rPr>
                <w:rFonts w:hint="eastAsia" w:ascii="宋体" w:hAnsi="宋体" w:eastAsia="宋体" w:cs="宋体"/>
                <w:color w:val="000000"/>
                <w:kern w:val="0"/>
                <w:sz w:val="21"/>
                <w:szCs w:val="21"/>
                <w:lang w:eastAsia="zh-CN"/>
              </w:rPr>
              <w:t>辅助明细账、</w:t>
            </w:r>
            <w:r>
              <w:rPr>
                <w:rFonts w:hint="eastAsia" w:ascii="宋体" w:hAnsi="宋体" w:eastAsia="宋体" w:cs="宋体"/>
                <w:color w:val="000000"/>
                <w:kern w:val="0"/>
                <w:sz w:val="21"/>
                <w:szCs w:val="21"/>
                <w:lang w:val="en-US" w:eastAsia="zh-CN"/>
              </w:rPr>
              <w:t>现金银行日记账</w:t>
            </w:r>
            <w:r>
              <w:rPr>
                <w:rFonts w:hint="eastAsia" w:ascii="宋体" w:hAnsi="宋体" w:eastAsia="宋体" w:cs="宋体"/>
                <w:color w:val="000000"/>
                <w:kern w:val="0"/>
                <w:sz w:val="21"/>
                <w:szCs w:val="21"/>
                <w:lang w:eastAsia="zh-CN"/>
              </w:rPr>
              <w:t>等各种账簿的</w:t>
            </w:r>
            <w:r>
              <w:rPr>
                <w:rFonts w:hint="eastAsia" w:ascii="宋体" w:hAnsi="宋体" w:eastAsia="宋体" w:cs="宋体"/>
                <w:color w:val="000000"/>
                <w:kern w:val="0"/>
                <w:sz w:val="21"/>
                <w:szCs w:val="21"/>
                <w:lang w:val="en-US" w:eastAsia="zh-CN"/>
              </w:rPr>
              <w:t>多维度</w:t>
            </w:r>
            <w:r>
              <w:rPr>
                <w:rFonts w:hint="eastAsia" w:ascii="宋体" w:hAnsi="宋体" w:eastAsia="宋体" w:cs="宋体"/>
                <w:color w:val="000000"/>
                <w:kern w:val="0"/>
                <w:sz w:val="21"/>
                <w:szCs w:val="21"/>
                <w:lang w:eastAsia="zh-CN"/>
              </w:rPr>
              <w:t>查询。</w:t>
            </w:r>
            <w:r>
              <w:rPr>
                <w:rFonts w:hint="eastAsia" w:ascii="宋体" w:hAnsi="宋体" w:eastAsia="宋体" w:cs="宋体"/>
                <w:color w:val="000000"/>
                <w:kern w:val="0"/>
                <w:sz w:val="21"/>
                <w:szCs w:val="21"/>
                <w:lang w:val="en-US" w:eastAsia="zh-CN"/>
              </w:rPr>
              <w:t>在月末、年末</w:t>
            </w:r>
            <w:r>
              <w:rPr>
                <w:rFonts w:hint="eastAsia" w:ascii="宋体" w:hAnsi="宋体" w:eastAsia="宋体" w:cs="宋体"/>
                <w:color w:val="000000"/>
                <w:kern w:val="0"/>
                <w:sz w:val="21"/>
                <w:szCs w:val="21"/>
                <w:lang w:eastAsia="zh-CN"/>
              </w:rPr>
              <w:t>各种结转前</w:t>
            </w:r>
            <w:r>
              <w:rPr>
                <w:rFonts w:hint="eastAsia" w:ascii="宋体" w:hAnsi="宋体" w:eastAsia="宋体" w:cs="宋体"/>
                <w:color w:val="000000"/>
                <w:kern w:val="0"/>
                <w:sz w:val="21"/>
                <w:szCs w:val="21"/>
                <w:lang w:val="en-US" w:eastAsia="zh-CN"/>
              </w:rPr>
              <w:t>进行</w:t>
            </w:r>
            <w:r>
              <w:rPr>
                <w:rFonts w:hint="eastAsia" w:ascii="宋体" w:hAnsi="宋体" w:eastAsia="宋体" w:cs="宋体"/>
                <w:color w:val="000000"/>
                <w:kern w:val="0"/>
                <w:sz w:val="21"/>
                <w:szCs w:val="21"/>
                <w:lang w:eastAsia="zh-CN"/>
              </w:rPr>
              <w:t>科目规则校验，自动生成转账凭证，会计期</w:t>
            </w:r>
            <w:r>
              <w:rPr>
                <w:rFonts w:hint="eastAsia" w:ascii="宋体" w:hAnsi="宋体" w:eastAsia="宋体" w:cs="宋体"/>
                <w:color w:val="000000"/>
                <w:kern w:val="0"/>
                <w:sz w:val="21"/>
                <w:szCs w:val="21"/>
                <w:lang w:val="en-US" w:eastAsia="zh-CN"/>
              </w:rPr>
              <w:t>间</w:t>
            </w:r>
            <w:r>
              <w:rPr>
                <w:rFonts w:hint="eastAsia" w:ascii="宋体" w:hAnsi="宋体" w:eastAsia="宋体" w:cs="宋体"/>
                <w:color w:val="000000"/>
                <w:kern w:val="0"/>
                <w:sz w:val="21"/>
                <w:szCs w:val="21"/>
                <w:lang w:eastAsia="zh-CN"/>
              </w:rPr>
              <w:t>结束时进行试算平衡与结账处理。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（10）满足高级的财务核算需要：通过提供科目辅助核算及多种账表查询功能，支持多维度的专项核算与管理，满足医院精细化核算的要求。</w:t>
            </w:r>
            <w:r>
              <w:rPr>
                <w:rFonts w:hint="eastAsia" w:ascii="宋体" w:hAnsi="宋体" w:eastAsia="宋体" w:cs="宋体"/>
                <w:color w:val="000000"/>
                <w:kern w:val="0"/>
                <w:sz w:val="21"/>
                <w:szCs w:val="21"/>
              </w:rPr>
              <w:t>提供将基本档案、自定义档案设置为科目辅助核算项的功能。提供科目交叉校验规则及辅助核算控制规则，从而使账务核算更为严密、方便，降低差错率。</w:t>
            </w:r>
          </w:p>
          <w:p>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薪资核算：支持从薪酬系统导入薪资数据，在设置好薪酬项目与会计科目对照关系的前提下，可以按月自动生成薪资核算会计凭证。</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往来核销：</w:t>
            </w:r>
            <w:r>
              <w:rPr>
                <w:rFonts w:hint="eastAsia" w:ascii="宋体" w:hAnsi="宋体" w:eastAsia="宋体" w:cs="宋体"/>
                <w:color w:val="000000"/>
                <w:kern w:val="0"/>
                <w:sz w:val="21"/>
                <w:szCs w:val="21"/>
              </w:rPr>
              <w:t>总账支持往来核销管理，可进行</w:t>
            </w:r>
            <w:r>
              <w:rPr>
                <w:rFonts w:hint="eastAsia" w:ascii="宋体" w:hAnsi="宋体" w:eastAsia="宋体" w:cs="宋体"/>
                <w:color w:val="000000"/>
                <w:kern w:val="0"/>
                <w:sz w:val="21"/>
                <w:szCs w:val="21"/>
                <w:lang w:val="en-US" w:eastAsia="zh-CN"/>
              </w:rPr>
              <w:t>核销</w:t>
            </w:r>
            <w:r>
              <w:rPr>
                <w:rFonts w:hint="eastAsia" w:ascii="宋体" w:hAnsi="宋体" w:eastAsia="宋体" w:cs="宋体"/>
                <w:color w:val="000000"/>
                <w:kern w:val="0"/>
                <w:sz w:val="21"/>
                <w:szCs w:val="21"/>
              </w:rPr>
              <w:t>对象自定义设置，</w:t>
            </w:r>
            <w:r>
              <w:rPr>
                <w:rFonts w:hint="eastAsia" w:ascii="宋体" w:hAnsi="宋体" w:eastAsia="宋体" w:cs="宋体"/>
                <w:color w:val="000000"/>
                <w:kern w:val="0"/>
                <w:sz w:val="21"/>
                <w:szCs w:val="21"/>
                <w:lang w:val="en-US" w:eastAsia="zh-CN"/>
              </w:rPr>
              <w:t>可以在日常记账时及时核销，也可以</w:t>
            </w:r>
            <w:r>
              <w:rPr>
                <w:rFonts w:hint="eastAsia" w:ascii="宋体" w:hAnsi="宋体" w:eastAsia="宋体" w:cs="宋体"/>
                <w:color w:val="000000"/>
                <w:kern w:val="0"/>
                <w:sz w:val="21"/>
                <w:szCs w:val="21"/>
              </w:rPr>
              <w:t>关联总账</w:t>
            </w:r>
            <w:r>
              <w:rPr>
                <w:rFonts w:hint="eastAsia" w:ascii="宋体" w:hAnsi="宋体" w:eastAsia="宋体" w:cs="宋体"/>
                <w:color w:val="000000"/>
                <w:kern w:val="0"/>
                <w:sz w:val="21"/>
                <w:szCs w:val="21"/>
                <w:lang w:val="en-US" w:eastAsia="zh-CN"/>
              </w:rPr>
              <w:t>账</w:t>
            </w:r>
            <w:r>
              <w:rPr>
                <w:rFonts w:hint="eastAsia" w:ascii="宋体" w:hAnsi="宋体" w:eastAsia="宋体" w:cs="宋体"/>
                <w:color w:val="000000"/>
                <w:kern w:val="0"/>
                <w:sz w:val="21"/>
                <w:szCs w:val="21"/>
              </w:rPr>
              <w:t>务</w:t>
            </w:r>
            <w:r>
              <w:rPr>
                <w:rFonts w:hint="eastAsia" w:ascii="宋体" w:hAnsi="宋体" w:eastAsia="宋体" w:cs="宋体"/>
                <w:color w:val="000000"/>
                <w:kern w:val="0"/>
                <w:sz w:val="21"/>
                <w:szCs w:val="21"/>
                <w:lang w:val="en-US" w:eastAsia="zh-CN"/>
              </w:rPr>
              <w:t>在事后</w:t>
            </w:r>
            <w:r>
              <w:rPr>
                <w:rFonts w:hint="eastAsia" w:ascii="宋体" w:hAnsi="宋体" w:eastAsia="宋体" w:cs="宋体"/>
                <w:color w:val="000000"/>
                <w:kern w:val="0"/>
                <w:sz w:val="21"/>
                <w:szCs w:val="21"/>
              </w:rPr>
              <w:t>进行</w:t>
            </w:r>
            <w:r>
              <w:rPr>
                <w:rFonts w:hint="eastAsia" w:ascii="宋体" w:hAnsi="宋体" w:eastAsia="宋体" w:cs="宋体"/>
                <w:color w:val="000000"/>
                <w:kern w:val="0"/>
                <w:sz w:val="21"/>
                <w:szCs w:val="21"/>
                <w:lang w:val="en-US" w:eastAsia="zh-CN"/>
              </w:rPr>
              <w:t>自动</w:t>
            </w:r>
            <w:r>
              <w:rPr>
                <w:rFonts w:hint="eastAsia" w:ascii="宋体" w:hAnsi="宋体" w:eastAsia="宋体" w:cs="宋体"/>
                <w:color w:val="000000"/>
                <w:kern w:val="0"/>
                <w:sz w:val="21"/>
                <w:szCs w:val="21"/>
              </w:rPr>
              <w:t>核销或手工核销</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往来核销不局限于应收、应付类科目之间的核销，还</w:t>
            </w:r>
            <w:r>
              <w:rPr>
                <w:rFonts w:hint="eastAsia" w:ascii="宋体" w:hAnsi="宋体" w:eastAsia="宋体" w:cs="宋体"/>
                <w:color w:val="000000"/>
                <w:kern w:val="0"/>
                <w:sz w:val="21"/>
                <w:szCs w:val="21"/>
                <w:highlight w:val="none"/>
                <w:lang w:val="en-US" w:eastAsia="zh-CN"/>
              </w:rPr>
              <w:t>可以根据凭证金额、业务系统单据号等可以提供的信息进行匹配后核销。生成各项往来款核销余额查询表、账龄分析表，</w:t>
            </w:r>
            <w:r>
              <w:rPr>
                <w:rFonts w:hint="eastAsia" w:ascii="宋体" w:hAnsi="宋体" w:eastAsia="宋体" w:cs="宋体"/>
                <w:color w:val="000000"/>
                <w:kern w:val="0"/>
                <w:sz w:val="21"/>
                <w:szCs w:val="21"/>
                <w:lang w:val="en-US" w:eastAsia="zh-CN"/>
              </w:rPr>
              <w:t>能够</w:t>
            </w:r>
            <w:r>
              <w:rPr>
                <w:rFonts w:hint="eastAsia" w:ascii="宋体" w:hAnsi="宋体" w:eastAsia="宋体" w:cs="宋体"/>
                <w:color w:val="000000"/>
                <w:kern w:val="0"/>
                <w:sz w:val="21"/>
                <w:szCs w:val="21"/>
              </w:rPr>
              <w:t>基于总账凭证的往来核销管理与账龄分析等</w:t>
            </w:r>
            <w:r>
              <w:rPr>
                <w:rFonts w:hint="eastAsia" w:ascii="宋体" w:hAnsi="宋体" w:eastAsia="宋体" w:cs="宋体"/>
                <w:color w:val="000000"/>
                <w:kern w:val="0"/>
                <w:sz w:val="21"/>
                <w:szCs w:val="21"/>
                <w:lang w:val="en-US" w:eastAsia="zh-CN"/>
              </w:rPr>
              <w:t>进行</w:t>
            </w:r>
            <w:r>
              <w:rPr>
                <w:rFonts w:hint="eastAsia" w:ascii="宋体" w:hAnsi="宋体" w:eastAsia="宋体" w:cs="宋体"/>
                <w:color w:val="000000"/>
                <w:kern w:val="0"/>
                <w:sz w:val="21"/>
                <w:szCs w:val="21"/>
              </w:rPr>
              <w:t>统计查询</w:t>
            </w:r>
            <w:r>
              <w:rPr>
                <w:rFonts w:hint="eastAsia" w:ascii="宋体" w:hAnsi="宋体" w:eastAsia="宋体" w:cs="宋体"/>
                <w:color w:val="000000"/>
                <w:kern w:val="0"/>
                <w:sz w:val="21"/>
                <w:szCs w:val="21"/>
                <w:lang w:eastAsia="zh-CN"/>
              </w:rPr>
              <w:t>。</w:t>
            </w:r>
          </w:p>
          <w:p>
            <w:pPr>
              <w:widowControl/>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（13）凭证、账簿、报表生成及打印：</w:t>
            </w:r>
            <w:r>
              <w:rPr>
                <w:rFonts w:hint="eastAsia" w:ascii="宋体" w:hAnsi="宋体" w:eastAsia="宋体" w:cs="宋体"/>
                <w:color w:val="000000"/>
                <w:kern w:val="0"/>
                <w:sz w:val="21"/>
                <w:szCs w:val="21"/>
                <w:lang w:eastAsia="zh-CN"/>
              </w:rPr>
              <w:t>提供包括</w:t>
            </w:r>
            <w:r>
              <w:rPr>
                <w:rFonts w:hint="eastAsia" w:ascii="宋体" w:hAnsi="宋体" w:eastAsia="宋体" w:cs="宋体"/>
                <w:color w:val="000000"/>
                <w:kern w:val="0"/>
                <w:sz w:val="21"/>
                <w:szCs w:val="21"/>
                <w:lang w:val="en-US" w:eastAsia="zh-CN"/>
              </w:rPr>
              <w:t>科目余额表、</w:t>
            </w:r>
            <w:r>
              <w:rPr>
                <w:rFonts w:hint="eastAsia" w:ascii="宋体" w:hAnsi="宋体" w:eastAsia="宋体" w:cs="宋体"/>
                <w:color w:val="000000"/>
                <w:kern w:val="0"/>
                <w:sz w:val="21"/>
                <w:szCs w:val="21"/>
                <w:lang w:eastAsia="zh-CN"/>
              </w:rPr>
              <w:t>序时账、三栏式总账、三栏式明细账、</w:t>
            </w:r>
            <w:r>
              <w:rPr>
                <w:rFonts w:hint="eastAsia" w:ascii="宋体" w:hAnsi="宋体" w:eastAsia="宋体" w:cs="宋体"/>
                <w:color w:val="000000"/>
                <w:kern w:val="0"/>
                <w:sz w:val="21"/>
                <w:szCs w:val="21"/>
                <w:lang w:val="en-US" w:eastAsia="zh-CN"/>
              </w:rPr>
              <w:t>辅助余额表、</w:t>
            </w:r>
            <w:r>
              <w:rPr>
                <w:rFonts w:hint="eastAsia" w:ascii="宋体" w:hAnsi="宋体" w:eastAsia="宋体" w:cs="宋体"/>
                <w:color w:val="000000"/>
                <w:kern w:val="0"/>
                <w:sz w:val="21"/>
                <w:szCs w:val="21"/>
                <w:lang w:eastAsia="zh-CN"/>
              </w:rPr>
              <w:t>辅助明细账、</w:t>
            </w:r>
            <w:r>
              <w:rPr>
                <w:rFonts w:hint="eastAsia" w:ascii="宋体" w:hAnsi="宋体" w:eastAsia="宋体" w:cs="宋体"/>
                <w:color w:val="000000"/>
                <w:kern w:val="0"/>
                <w:sz w:val="21"/>
                <w:szCs w:val="21"/>
                <w:lang w:val="en-US" w:eastAsia="zh-CN"/>
              </w:rPr>
              <w:t>现金银行日记账</w:t>
            </w:r>
            <w:r>
              <w:rPr>
                <w:rFonts w:hint="eastAsia" w:ascii="宋体" w:hAnsi="宋体" w:eastAsia="宋体" w:cs="宋体"/>
                <w:color w:val="000000"/>
                <w:kern w:val="0"/>
                <w:sz w:val="21"/>
                <w:szCs w:val="21"/>
                <w:lang w:eastAsia="zh-CN"/>
              </w:rPr>
              <w:t>等各种账簿直接设置好按账簿模版打印。</w:t>
            </w:r>
            <w:r>
              <w:rPr>
                <w:rFonts w:hint="eastAsia" w:ascii="宋体" w:hAnsi="宋体" w:eastAsia="宋体" w:cs="宋体"/>
                <w:color w:val="auto"/>
                <w:kern w:val="0"/>
                <w:sz w:val="21"/>
                <w:szCs w:val="21"/>
                <w:lang w:val="en-US" w:eastAsia="zh-CN"/>
              </w:rPr>
              <w:t>财务会计凭证与预算会计凭证可以关联打印，打印纸张可以自定义选择纸张规格。根据医院提供的模板，可直接生成账簿封面、目录及具体内容，每月可直接从已设置好的的模版直接生成并打印，不需要重复调整格式。</w:t>
            </w:r>
          </w:p>
          <w:p>
            <w:pPr>
              <w:widowControl/>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（14）出纳账：出纳账支持手工录入、模版导入导出功能，支持对接银医直联系统功能，能自动生成现金银行账，支持按照医院的要求进行一些自定义设置。</w:t>
            </w:r>
          </w:p>
          <w:p>
            <w:pPr>
              <w:widowControl/>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（15）项目账查询：支持在总账系统可进行财政专项资金、科研课题资金、其他项目资金等按项目进行核算、查询等功能，可以直观地查询并导出每个项目的收入、支出、结余情况。</w:t>
            </w:r>
          </w:p>
          <w:p>
            <w:pPr>
              <w:widowControl/>
              <w:jc w:val="left"/>
              <w:rPr>
                <w:rFonts w:hint="eastAsia" w:ascii="宋体" w:hAnsi="宋体" w:eastAsia="宋体" w:cs="宋体"/>
                <w:color w:val="FF0000"/>
                <w:kern w:val="0"/>
                <w:sz w:val="21"/>
                <w:szCs w:val="21"/>
                <w:lang w:eastAsia="zh-CN"/>
              </w:rPr>
            </w:pPr>
            <w:r>
              <w:rPr>
                <w:rFonts w:hint="eastAsia" w:ascii="宋体" w:hAnsi="宋体" w:eastAsia="宋体" w:cs="宋体"/>
                <w:color w:val="auto"/>
                <w:kern w:val="0"/>
                <w:sz w:val="21"/>
                <w:szCs w:val="21"/>
                <w:lang w:val="en-US" w:eastAsia="zh-CN"/>
              </w:rPr>
              <w:t>（16）自定义报表：支持根据医院的需求设置一些自定义报表，数据来源包括但不限于本系统数据、接口数据等。</w:t>
            </w:r>
          </w:p>
        </w:tc>
      </w:tr>
      <w:tr>
        <w:tblPrEx>
          <w:tblCellMar>
            <w:top w:w="0" w:type="dxa"/>
            <w:left w:w="108" w:type="dxa"/>
            <w:bottom w:w="0" w:type="dxa"/>
            <w:right w:w="108" w:type="dxa"/>
          </w:tblCellMar>
        </w:tblPrEx>
        <w:trPr>
          <w:trHeight w:val="90" w:hRule="atLeast"/>
        </w:trPr>
        <w:tc>
          <w:tcPr>
            <w:tcW w:w="633"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往来核算</w:t>
            </w:r>
          </w:p>
        </w:tc>
        <w:tc>
          <w:tcPr>
            <w:tcW w:w="4366" w:type="pct"/>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支持应付款申请单的录入、供应商资质的控制、供应商付款的处理、单据核销处理等功能，并提供应付及付款常用报表的查询分析；支持与业务系统的无缝集成，可以根据业务系统直接生成应付款申请单，也可以在应付系统中录入相应的应付款内容；根据应付情况和付款条件，提供选择付款功能，支持批量付款。支持对预付款的管理；提供多种结算方式的付款处理；应收账款、应付账款支持自动核销和手工核销两种方式；支持通过应付系统查询发票、付款时间、会计凭证；反向通过会计凭证查询到发票明细；实现双向业务追溯；支持应收账款、应付账款的统计分析，支持往来核销及账龄分析。</w:t>
            </w:r>
          </w:p>
          <w:p>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color w:val="FF0000"/>
                <w:kern w:val="0"/>
                <w:sz w:val="21"/>
                <w:szCs w:val="21"/>
                <w:lang w:eastAsia="zh-CN"/>
              </w:rPr>
            </w:pPr>
          </w:p>
        </w:tc>
      </w:tr>
      <w:tr>
        <w:tblPrEx>
          <w:tblCellMar>
            <w:top w:w="0" w:type="dxa"/>
            <w:left w:w="108" w:type="dxa"/>
            <w:bottom w:w="0" w:type="dxa"/>
            <w:right w:w="108" w:type="dxa"/>
          </w:tblCellMar>
        </w:tblPrEx>
        <w:trPr>
          <w:trHeight w:val="953" w:hRule="atLeast"/>
        </w:trPr>
        <w:tc>
          <w:tcPr>
            <w:tcW w:w="633"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接口核算</w:t>
            </w:r>
          </w:p>
        </w:tc>
        <w:tc>
          <w:tcPr>
            <w:tcW w:w="4366" w:type="pct"/>
            <w:tcBorders>
              <w:top w:val="single" w:color="auto" w:sz="4" w:space="0"/>
              <w:left w:val="single" w:color="auto" w:sz="4" w:space="0"/>
              <w:bottom w:val="single" w:color="auto" w:sz="4" w:space="0"/>
              <w:right w:val="single" w:color="auto" w:sz="4" w:space="0"/>
            </w:tcBorders>
          </w:tcPr>
          <w:p>
            <w:pPr>
              <w:widowControl/>
              <w:numPr>
                <w:ilvl w:val="0"/>
                <w:numId w:val="0"/>
              </w:numPr>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（1）基础数据与映射管理</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①科目与业务对照：支持会计科目与医疗收入类别（门急诊、住院）、其他收入类别（停车、食堂）的对照设置；当收入类别调整时，系统应能在当月快速响应，并做出提示。</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②批量维护：支持收入业务与收入科目的对应关系批量增加，既可批量维护，也可单个维护，</w:t>
            </w:r>
            <w:r>
              <w:rPr>
                <w:rFonts w:hint="eastAsia" w:ascii="宋体" w:hAnsi="宋体" w:eastAsia="宋体" w:cs="宋体"/>
                <w:color w:val="000000"/>
                <w:kern w:val="0"/>
                <w:sz w:val="21"/>
                <w:szCs w:val="21"/>
                <w:highlight w:val="none"/>
                <w:lang w:val="en-US" w:eastAsia="zh-CN"/>
              </w:rPr>
              <w:t>支持医院技术人员或财务人员自行进行收入类别和会计科目的维护及对照设置。</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③自主配置：支持新增会计科目或收费支付方式时，财务端可自行完成科目设置，包括收费支付方式与供应商现金流对应关系的配置。</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④查询功能：提供多条件组合查询功能，方便快速查找相关信息。</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（2）凭证模板管理</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①模板维护：支持收入报表凭证模板的增、删、改、查。模板分录的科目设置依据日常凭证设定，分录数量必须大于1条且包含借贷方。</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②智能分录：模板生成凭证时，若分录科目有收入数据则生成分录，无数据则不生成。</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③平衡补丁：提供“补充科目”设置功能。当凭证借贷不平衡时，系统自动启用补充科目；若借贷平衡，则补充科目不生成分录。一个模板支持设置多条补充科目。</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FF0000"/>
                <w:kern w:val="0"/>
                <w:sz w:val="21"/>
                <w:szCs w:val="21"/>
                <w:lang w:val="en-US" w:eastAsia="zh-CN"/>
              </w:rPr>
            </w:pPr>
            <w:r>
              <w:rPr>
                <w:rFonts w:hint="eastAsia" w:ascii="宋体" w:hAnsi="宋体" w:eastAsia="宋体" w:cs="宋体"/>
                <w:color w:val="000000"/>
                <w:kern w:val="0"/>
                <w:sz w:val="21"/>
                <w:szCs w:val="21"/>
                <w:lang w:val="en-US" w:eastAsia="zh-CN"/>
              </w:rPr>
              <w:t>④摘要方案：补充日期，支持将日期填充至摘要前面；补充冲退，支持将金额的冲退方向填充至摘要前面；支持摘要自定义显示。</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⑤重新生成：已生成的凭证若被删除，允许重新生成凭证。</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auto"/>
                <w:kern w:val="0"/>
                <w:sz w:val="21"/>
                <w:szCs w:val="21"/>
                <w:lang w:val="en-US" w:eastAsia="zh-CN"/>
              </w:rPr>
            </w:pPr>
            <w:r>
              <w:rPr>
                <w:rFonts w:hint="eastAsia" w:ascii="宋体" w:hAnsi="宋体" w:eastAsia="宋体" w:cs="宋体"/>
                <w:color w:val="000000"/>
                <w:kern w:val="0"/>
                <w:sz w:val="21"/>
                <w:szCs w:val="21"/>
                <w:lang w:val="en-US" w:eastAsia="zh-CN"/>
              </w:rPr>
              <w:t>⑥异常处理：HIS系统自动生成凭证过程中，若因系统问题产生空号凭证，应在自动凭证模块允许删除该异常凭证，</w:t>
            </w:r>
            <w:r>
              <w:rPr>
                <w:rFonts w:hint="eastAsia" w:ascii="宋体" w:hAnsi="宋体" w:eastAsia="宋体" w:cs="宋体"/>
                <w:color w:val="auto"/>
                <w:kern w:val="0"/>
                <w:sz w:val="21"/>
                <w:szCs w:val="21"/>
                <w:lang w:val="en-US" w:eastAsia="zh-CN"/>
              </w:rPr>
              <w:t>不允许出现金额为零的会计科目仍保存成功的情况。</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（3）收入报表处理</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①下载与查询：支持收入报表的下载及多条件查询。</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②凭证生成：仅针对已审核但未生成凭证的收入报表，允许生成凭证。</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③凭证号回写：生成凭证后，系统自动将凭证号回写至对应的收入报表。</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（4）预交金报表处理</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①下载与查询：支持预交金报表的下载及查询。</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②凭证生成：仅针对已审核但未生成凭证的预交金报表，允许生成凭证。</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③凭证号回写：生成凭证后，系统自动将凭证号回写至对应的预交金报表。</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（5）系统对接与数据接口</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业务系统对接：收入数据：能够与门急诊收费、住院收费等系统对接，获取日清月结数据，包含收费、退费、结算未支付欠费等各类收入记账信息。支出数据：能够与药品试剂、物资耗材采购消耗、职工薪酬等业务系统对接。其他收入：能够与停车收入、食堂收入等系统对接。</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②接口平台要求：接口平台应为通用平台，支持海量、金仓、Oracle、SQL Server等数据库。需提供完整、标准的接口技术规范（包括但不限于数据格式、传输协议、调用方式），主动适配医院现有各业务系统的技术架构和数据格式，并负责接口的开发与调试。</w:t>
            </w:r>
          </w:p>
          <w:p>
            <w:pPr>
              <w:keepNext w:val="0"/>
              <w:keepLines w:val="0"/>
              <w:widowControl/>
              <w:numPr>
                <w:ilvl w:val="0"/>
                <w:numId w:val="0"/>
              </w:numPr>
              <w:suppressLineNumbers w:val="0"/>
              <w:spacing w:before="0" w:beforeAutospacing="0" w:after="0" w:afterAutospacing="0"/>
              <w:ind w:right="0" w:rightChars="0"/>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bidi="ar-SA"/>
              </w:rPr>
              <w:t>（6）</w:t>
            </w:r>
            <w:r>
              <w:rPr>
                <w:rFonts w:hint="eastAsia" w:ascii="宋体" w:hAnsi="宋体" w:eastAsia="宋体" w:cs="宋体"/>
                <w:color w:val="000000"/>
                <w:kern w:val="0"/>
                <w:sz w:val="21"/>
                <w:szCs w:val="21"/>
                <w:lang w:val="en-US" w:eastAsia="zh-CN"/>
              </w:rPr>
              <w:t>其他与接口核算相关的业务：①</w:t>
            </w:r>
            <w:r>
              <w:rPr>
                <w:rFonts w:hint="eastAsia" w:ascii="宋体" w:hAnsi="宋体" w:eastAsia="宋体" w:cs="宋体"/>
                <w:color w:val="auto"/>
                <w:kern w:val="0"/>
                <w:sz w:val="21"/>
                <w:szCs w:val="21"/>
                <w:lang w:val="en-US" w:eastAsia="zh-CN"/>
              </w:rPr>
              <w:t>支持业务收支关联预算执行，且关联项目库，能在当前凭证穿透式查询预算执行情况及项目支出情况（可与预算系统做接口）；②支持自动凭证关联申请审批支出或合同管理系统，对根据合同设定好的当月应计提费用进行独立表格列示,且设定允许账务处理全过程修改。（可与相关系统做接口）</w:t>
            </w:r>
          </w:p>
          <w:p>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color w:val="FF0000"/>
                <w:kern w:val="0"/>
                <w:sz w:val="21"/>
                <w:szCs w:val="21"/>
                <w:lang w:eastAsia="zh-CN"/>
              </w:rPr>
            </w:pPr>
          </w:p>
        </w:tc>
      </w:tr>
      <w:bookmarkEnd w:id="5"/>
      <w:tr>
        <w:tblPrEx>
          <w:tblCellMar>
            <w:top w:w="0" w:type="dxa"/>
            <w:left w:w="108" w:type="dxa"/>
            <w:bottom w:w="0" w:type="dxa"/>
            <w:right w:w="108" w:type="dxa"/>
          </w:tblCellMar>
        </w:tblPrEx>
        <w:trPr>
          <w:trHeight w:val="2165" w:hRule="atLeast"/>
        </w:trPr>
        <w:tc>
          <w:tcPr>
            <w:tcW w:w="633"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薪资管理</w:t>
            </w:r>
          </w:p>
        </w:tc>
        <w:tc>
          <w:tcPr>
            <w:tcW w:w="4366" w:type="pct"/>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（1）基础体系与管控</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①集团级薪资体系：支持建立集团级薪资体系，统一设置薪资类别、薪资项目、薪资期间、薪资规则表、税率表、代发银行等。对于执行相同薪酬方案的各单位，集团级薪资类别可直接分配使用，无需重复设置。</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②公共薪资项目：支持设置公共薪资项目的名称、属性及取数来源。</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③多类型薪酬设计：支持全单位内不同单位间设计多种薪酬体系，满足单位管理的灵活性需求。</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④权限管理：支持按用户分配薪资类别权限。提供单位级薪资类别权限分配功能，集团级薪资类别无需分配权限。</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⑤计税方式：支持不同地区定义不同的计税方法，灵活管理上税方式。</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（2）薪酬总额管理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①总额制定：支持医疗集团总部或具备权限的单位，为本单位及下级单位制定年度工资总额及各期间工资总额。</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②总额校验：年度工资总额需大于等于本年度下各期间工资总额之和。</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③下级读取与控制：下属单位可读取已发布的工资总额，但不可编辑。当超过工资总额标准时，提供两种控制方式：强控制（超额后禁止发放）和提醒控制。</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（3）日常薪资处理与计算</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①人员档案与发放：支持薪资档案中选择当前单位人员及跨单位引用人员，实现跨单位人员薪资发放。</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②银行账户信息：与人力系统对接，自动获取新入职人员银行卡信息。 职工账户信息包含姓名、账号、开户行，支持每位职工保存至少2个银行账户。</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③薪资项目与计算：支持为薪资类别指定包含的薪资发放项目。可灵活设置不同类型员工的各类薪资项目及其计算方式。支持自定义薪资计算参数，分别计算各期间薪资类别的每个项目。</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④个税计算：嵌入个税计税模块，自动提取工资应税信息。支持手动添加绩效工资等其他应税收入后，在系统内计税。按照2019年国家税务总局年终奖计税规定，预置“全年一次性奖金”薪资类别并进行纳税计算。</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⑤定调级管理：实现薪资的定级与调整管理。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⑥批量调整：支持薪资调整批处理，或指定个别员工进行调整。</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⑦期末结转：系统进行期末处理时，自动将本月数据结转到下月。</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⑧错误处理：计算有误时可重算薪资。发放有误时可重新设置并执行相应处理。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（4）薪资报表与查询</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①期间查询：支持对各薪资类别当前最新期间的查询。</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②报表显示控制：薪资发放表中支持对各薪资项目设置是否显示，不发放期间可隐藏对应项目。</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③打印功能：支持按部门对薪资发放表、薪资统计表进行分页打印。</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④统计分析：提供完善的薪资统计分析功能。系统预制多种薪资查询、统计、分析工具，为制定薪资制度与调整薪资结构提供依据。支持生成不同格式的薪资明细报表和统计报表。</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（5）审批流程</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①审批参数：薪资类别参数调整中，增加“是否需要审批”参数。支持不同的薪资类别直接发放，或提交申请审批后发放。</w:t>
            </w:r>
          </w:p>
          <w:p>
            <w:pPr>
              <w:keepNext w:val="0"/>
              <w:keepLines w:val="0"/>
              <w:widowControl/>
              <w:suppressLineNumbers w:val="0"/>
              <w:spacing w:before="0" w:beforeAutospacing="0" w:after="0" w:afterAutospacing="0"/>
              <w:ind w:left="0" w:right="0"/>
              <w:jc w:val="left"/>
              <w:rPr>
                <w:rFonts w:hint="eastAsia" w:ascii="宋体" w:hAnsi="宋体" w:eastAsia="宋体" w:cs="宋体"/>
                <w:color w:val="FF0000"/>
                <w:kern w:val="0"/>
                <w:sz w:val="21"/>
                <w:szCs w:val="21"/>
                <w:lang w:eastAsia="zh-CN"/>
              </w:rPr>
            </w:pPr>
            <w:r>
              <w:rPr>
                <w:rFonts w:hint="eastAsia" w:ascii="宋体" w:hAnsi="宋体" w:eastAsia="宋体" w:cs="宋体"/>
                <w:color w:val="000000"/>
                <w:kern w:val="0"/>
                <w:sz w:val="21"/>
                <w:szCs w:val="21"/>
                <w:lang w:val="en-US" w:eastAsia="zh-CN"/>
              </w:rPr>
              <w:t>②审批查询：在薪资发放审批功能节点增加明细查询功能，可列出指定薪资类别中所有薪资项目的详细数据（当前期间）。提供薪资数据变动查询功能，将本期间数据与前一期间数据进行对比，列出所有发生变化的薪资项目和薪资数据（包含本期值和上期值）。</w:t>
            </w:r>
          </w:p>
        </w:tc>
      </w:tr>
    </w:tbl>
    <w:p>
      <w:pPr>
        <w:spacing w:line="360" w:lineRule="auto"/>
        <w:rPr>
          <w:rFonts w:hint="eastAsia" w:ascii="宋体" w:hAnsi="宋体" w:eastAsia="宋体" w:cs="宋体"/>
          <w:sz w:val="24"/>
          <w:szCs w:val="24"/>
        </w:rPr>
      </w:pPr>
    </w:p>
    <w:p>
      <w:pPr>
        <w:pStyle w:val="3"/>
        <w:numPr>
          <w:ilvl w:val="0"/>
          <w:numId w:val="0"/>
        </w:numPr>
        <w:bidi w:val="0"/>
        <w:ind w:left="420" w:leftChars="0"/>
        <w:rPr>
          <w:rFonts w:hint="eastAsia" w:ascii="宋体" w:hAnsi="宋体" w:eastAsia="宋体" w:cs="宋体"/>
        </w:rPr>
      </w:pPr>
      <w:bookmarkStart w:id="9" w:name="_Toc21981"/>
      <w:bookmarkStart w:id="10" w:name="_Toc17860"/>
      <w:bookmarkStart w:id="11" w:name="_Toc25913"/>
      <w:r>
        <w:rPr>
          <w:rFonts w:hint="eastAsia" w:ascii="宋体" w:hAnsi="宋体" w:eastAsia="宋体" w:cs="宋体"/>
          <w:lang w:val="en-US" w:eastAsia="zh-CN"/>
        </w:rPr>
        <w:t>（二）成本核算系统</w:t>
      </w:r>
      <w:bookmarkEnd w:id="9"/>
      <w:bookmarkEnd w:id="10"/>
      <w:bookmarkEnd w:id="11"/>
    </w:p>
    <w:p>
      <w:pPr>
        <w:pStyle w:val="13"/>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建设全成本核算平台。按照最新颁布的公立医院成本核算办法，健全补充成本核算管理。同时，满足内部经营分析和绩效考评对于成本数据的要求。为提升医院科学管理和业务决策建立坚实基础。符合最新《关于印发公立医院成本核算规范的通知》、《公立医院运营管理信息化功能指引》、《公立医院成本核算指导手册》要求进行核算。采用灵活的分摊方式，实现全成本核算；实现多方位的成本分析，从固定/变动、直接/间接成本的角度对科室成本进行深入分析，能够对科室的明细收入、明细成本进行分析，提供灵活的报表工具，可以实现报表自定义；系统提供灵活的数据接口，实现成本核算数据的自动采集。</w:t>
      </w:r>
    </w:p>
    <w:p>
      <w:pPr>
        <w:pStyle w:val="13"/>
        <w:numPr>
          <w:ilvl w:val="0"/>
          <w:numId w:val="0"/>
        </w:numPr>
        <w:spacing w:line="360" w:lineRule="auto"/>
        <w:ind w:firstLine="480" w:firstLineChars="200"/>
        <w:rPr>
          <w:rFonts w:hint="eastAsia" w:ascii="宋体" w:hAnsi="宋体" w:eastAsia="宋体" w:cs="宋体"/>
          <w:sz w:val="24"/>
          <w:szCs w:val="24"/>
        </w:rPr>
      </w:pPr>
    </w:p>
    <w:tbl>
      <w:tblPr>
        <w:tblStyle w:val="9"/>
        <w:tblW w:w="7875" w:type="dxa"/>
        <w:tblInd w:w="93" w:type="dxa"/>
        <w:tblLayout w:type="fixed"/>
        <w:tblCellMar>
          <w:top w:w="0" w:type="dxa"/>
          <w:left w:w="108" w:type="dxa"/>
          <w:bottom w:w="0" w:type="dxa"/>
          <w:right w:w="108" w:type="dxa"/>
        </w:tblCellMar>
      </w:tblPr>
      <w:tblGrid>
        <w:gridCol w:w="1065"/>
        <w:gridCol w:w="6810"/>
      </w:tblGrid>
      <w:tr>
        <w:tblPrEx>
          <w:tblCellMar>
            <w:top w:w="0" w:type="dxa"/>
            <w:left w:w="108" w:type="dxa"/>
            <w:bottom w:w="0" w:type="dxa"/>
            <w:right w:w="108" w:type="dxa"/>
          </w:tblCellMar>
        </w:tblPrEx>
        <w:trPr>
          <w:trHeight w:val="285" w:hRule="atLeast"/>
        </w:trPr>
        <w:tc>
          <w:tcPr>
            <w:tcW w:w="106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0"/>
                <w:sz w:val="21"/>
                <w:szCs w:val="21"/>
              </w:rPr>
            </w:pPr>
            <w:r>
              <w:rPr>
                <w:rFonts w:hint="eastAsia" w:ascii="宋体" w:hAnsi="宋体" w:cs="宋体"/>
                <w:b/>
                <w:bCs/>
                <w:kern w:val="0"/>
                <w:sz w:val="21"/>
                <w:szCs w:val="21"/>
                <w:lang w:val="en-US" w:eastAsia="zh-CN"/>
              </w:rPr>
              <w:t>名称</w:t>
            </w:r>
          </w:p>
        </w:tc>
        <w:tc>
          <w:tcPr>
            <w:tcW w:w="6810" w:type="dxa"/>
            <w:tcBorders>
              <w:top w:val="single" w:color="auto" w:sz="4" w:space="0"/>
              <w:left w:val="nil"/>
              <w:bottom w:val="single" w:color="auto" w:sz="4" w:space="0"/>
              <w:right w:val="single" w:color="auto" w:sz="4" w:space="0"/>
            </w:tcBorders>
            <w:vAlign w:val="top"/>
          </w:tcPr>
          <w:p>
            <w:pPr>
              <w:keepNext w:val="0"/>
              <w:keepLines w:val="0"/>
              <w:widowControl/>
              <w:numPr>
                <w:ilvl w:val="0"/>
                <w:numId w:val="0"/>
              </w:numPr>
              <w:suppressLineNumbers w:val="0"/>
              <w:spacing w:before="0" w:beforeAutospacing="0" w:after="0" w:afterAutospacing="0" w:line="240" w:lineRule="auto"/>
              <w:ind w:left="210" w:leftChars="100" w:right="0" w:rightChars="0" w:firstLine="0" w:firstLineChars="0"/>
              <w:jc w:val="center"/>
              <w:rPr>
                <w:rFonts w:hint="eastAsia" w:ascii="宋体" w:hAnsi="宋体" w:eastAsia="宋体" w:cs="宋体"/>
                <w:b/>
                <w:bCs/>
                <w:color w:val="000000"/>
                <w:kern w:val="0"/>
                <w:sz w:val="21"/>
                <w:szCs w:val="21"/>
                <w:lang w:eastAsia="zh-CN"/>
              </w:rPr>
            </w:pPr>
            <w:r>
              <w:rPr>
                <w:rFonts w:hint="eastAsia" w:ascii="宋体" w:hAnsi="宋体" w:cs="宋体"/>
                <w:b/>
                <w:bCs/>
                <w:kern w:val="0"/>
                <w:sz w:val="21"/>
                <w:szCs w:val="21"/>
                <w:lang w:val="en-US" w:eastAsia="zh-CN"/>
              </w:rPr>
              <w:t>需求参数</w:t>
            </w:r>
          </w:p>
        </w:tc>
      </w:tr>
      <w:tr>
        <w:tblPrEx>
          <w:tblCellMar>
            <w:top w:w="0" w:type="dxa"/>
            <w:left w:w="108" w:type="dxa"/>
            <w:bottom w:w="0" w:type="dxa"/>
            <w:right w:w="108" w:type="dxa"/>
          </w:tblCellMar>
        </w:tblPrEx>
        <w:trPr>
          <w:trHeight w:val="1310" w:hRule="atLeast"/>
        </w:trPr>
        <w:tc>
          <w:tcPr>
            <w:tcW w:w="106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both"/>
              <w:rPr>
                <w:rFonts w:hint="eastAsia" w:ascii="宋体" w:hAnsi="宋体" w:eastAsia="宋体" w:cs="宋体"/>
                <w:kern w:val="0"/>
                <w:sz w:val="21"/>
                <w:szCs w:val="21"/>
              </w:rPr>
            </w:pPr>
            <w:r>
              <w:rPr>
                <w:rFonts w:hint="eastAsia" w:ascii="宋体" w:hAnsi="宋体" w:eastAsia="宋体" w:cs="宋体"/>
                <w:kern w:val="0"/>
                <w:sz w:val="21"/>
                <w:szCs w:val="21"/>
              </w:rPr>
              <w:t>科室成本核算</w:t>
            </w:r>
          </w:p>
        </w:tc>
        <w:tc>
          <w:tcPr>
            <w:tcW w:w="681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核算单元管理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需将HIS系统和医院会计信息系统内部的科室代码、科室名称通过梳理，形成符合《公立医院成本核算规范》、《公立医院成本核算指导手册》和适用于我院的科室单元编码和科室单元名称</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如外部数据来源的系统有新增的科室单元，未与成本模块做匹配，可自动提示</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或自动新增科室单元</w:t>
            </w:r>
            <w:r>
              <w:rPr>
                <w:rFonts w:hint="eastAsia" w:ascii="宋体" w:hAnsi="宋体" w:eastAsia="宋体" w:cs="宋体"/>
                <w:color w:val="000000"/>
                <w:kern w:val="0"/>
                <w:sz w:val="21"/>
                <w:szCs w:val="21"/>
              </w:rPr>
              <w:t>。支持从外部系统自动提取各个单元，在此基础上可自定义修改、删除、新增、启用、停用等操作。</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临床服务类核算单元要分开设置为门诊核算单元和住院核算单元，其中住院核算单位能下转至病区，分别统计成本信息，单独进行成本核算。核算单元可以核算到医疗组、护理组、医技组，必要时至个人。</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核算单元对照。进行本地核算单元和相关联的所有外部单元的对照关系，为后续成本数据从各个外部系统的提取提供基础单位数据支撑。需检查对照的准确性，并解决对照中存在的问题</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收入采集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收入项目对照。支持对收入核算项目和HIS系统收入项目形成对应关系，对HIS系统收入项目的</w:t>
            </w:r>
            <w:r>
              <w:rPr>
                <w:rFonts w:hint="eastAsia" w:ascii="宋体" w:hAnsi="宋体" w:eastAsia="宋体" w:cs="宋体"/>
                <w:color w:val="000000"/>
                <w:kern w:val="0"/>
                <w:sz w:val="21"/>
                <w:szCs w:val="21"/>
                <w:lang w:val="en-US" w:eastAsia="zh-CN"/>
              </w:rPr>
              <w:t>进行</w:t>
            </w:r>
            <w:r>
              <w:rPr>
                <w:rFonts w:hint="eastAsia" w:ascii="宋体" w:hAnsi="宋体" w:eastAsia="宋体" w:cs="宋体"/>
                <w:color w:val="000000"/>
                <w:kern w:val="0"/>
                <w:sz w:val="21"/>
                <w:szCs w:val="21"/>
              </w:rPr>
              <w:t>归类合并。成本核算</w:t>
            </w:r>
            <w:r>
              <w:rPr>
                <w:rFonts w:hint="eastAsia" w:ascii="宋体" w:hAnsi="宋体" w:eastAsia="宋体" w:cs="宋体"/>
                <w:color w:val="000000"/>
                <w:kern w:val="0"/>
                <w:sz w:val="21"/>
                <w:szCs w:val="21"/>
                <w:lang w:val="en-US" w:eastAsia="zh-CN"/>
              </w:rPr>
              <w:t>能够</w:t>
            </w:r>
            <w:r>
              <w:rPr>
                <w:rFonts w:hint="eastAsia" w:ascii="宋体" w:hAnsi="宋体" w:eastAsia="宋体" w:cs="宋体"/>
                <w:color w:val="000000"/>
                <w:kern w:val="0"/>
                <w:sz w:val="21"/>
                <w:szCs w:val="21"/>
              </w:rPr>
              <w:t>对收入进行分类汇总和展现，同时在报表中也支持按收入项目</w:t>
            </w:r>
            <w:r>
              <w:rPr>
                <w:rFonts w:hint="eastAsia" w:ascii="宋体" w:hAnsi="宋体" w:eastAsia="宋体" w:cs="宋体"/>
                <w:color w:val="000000"/>
                <w:kern w:val="0"/>
                <w:sz w:val="21"/>
                <w:szCs w:val="21"/>
                <w:lang w:val="en-US" w:eastAsia="zh-CN"/>
              </w:rPr>
              <w:t>进行</w:t>
            </w:r>
            <w:r>
              <w:rPr>
                <w:rFonts w:hint="eastAsia" w:ascii="宋体" w:hAnsi="宋体" w:eastAsia="宋体" w:cs="宋体"/>
                <w:color w:val="000000"/>
                <w:kern w:val="0"/>
                <w:sz w:val="21"/>
                <w:szCs w:val="21"/>
              </w:rPr>
              <w:t>统计。</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收费项目对照。支持HIS系统收入项目与价表的提取和对照，支持对HIS系统收入项目与价表的所属关系重新进行自定义修改操作。收入数据基于此对照关系进行归集和汇总。</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收入转移配置。支持将核算单元的门诊、住院收入，根据收入项目，按照开单和执行进行按比例转移。医技科室</w:t>
            </w:r>
            <w:r>
              <w:rPr>
                <w:rFonts w:hint="eastAsia" w:ascii="宋体" w:hAnsi="宋体" w:eastAsia="宋体" w:cs="宋体"/>
                <w:color w:val="000000"/>
                <w:kern w:val="0"/>
                <w:sz w:val="21"/>
                <w:szCs w:val="21"/>
                <w:lang w:val="en-US" w:eastAsia="zh-CN"/>
              </w:rPr>
              <w:t>如</w:t>
            </w:r>
            <w:r>
              <w:rPr>
                <w:rFonts w:hint="eastAsia" w:ascii="宋体" w:hAnsi="宋体" w:eastAsia="宋体" w:cs="宋体"/>
                <w:color w:val="000000"/>
                <w:kern w:val="0"/>
                <w:sz w:val="21"/>
                <w:szCs w:val="21"/>
              </w:rPr>
              <w:t>有出现开单数据的，可以在从HIS导入收入数据时，</w:t>
            </w:r>
            <w:r>
              <w:rPr>
                <w:rFonts w:hint="eastAsia" w:ascii="宋体" w:hAnsi="宋体" w:eastAsia="宋体" w:cs="宋体"/>
                <w:color w:val="000000"/>
                <w:kern w:val="0"/>
                <w:sz w:val="21"/>
                <w:szCs w:val="21"/>
                <w:lang w:val="en-US" w:eastAsia="zh-CN"/>
              </w:rPr>
              <w:t>进行</w:t>
            </w:r>
            <w:r>
              <w:rPr>
                <w:rFonts w:hint="eastAsia" w:ascii="宋体" w:hAnsi="宋体" w:eastAsia="宋体" w:cs="宋体"/>
                <w:color w:val="000000"/>
                <w:kern w:val="0"/>
                <w:sz w:val="21"/>
                <w:szCs w:val="21"/>
              </w:rPr>
              <w:t>自动区分，或在科室代码和名称匹配时做合理的设置，能够实现医技科室的开单数据和执行数据合理归集，不影响后续的分摊工作。</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成本设置</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支持科室成本相关的参数配置、字典设置、业务项与成本项之间的对应关系设置以及相关校验规则的设置等。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成本项目定义。定义医院成本项目，医院成本核算的项目包括以下七类：人员经费、卫生材料费、药品费、固定资产折旧费、无形资产摊销费、提取医疗风险基金和其他医疗费用，根据医院具体情况，设置成本明细项目。支持新增、修改、删除等操作。</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会计科目对照。支持成本项目与财务会计科目的对照，</w:t>
            </w:r>
            <w:r>
              <w:rPr>
                <w:rFonts w:hint="eastAsia" w:ascii="宋体" w:hAnsi="宋体" w:eastAsia="宋体" w:cs="宋体"/>
                <w:color w:val="000000"/>
                <w:kern w:val="0"/>
                <w:sz w:val="21"/>
                <w:szCs w:val="21"/>
                <w:lang w:val="en-US" w:eastAsia="zh-CN"/>
              </w:rPr>
              <w:t>如财务会计科目有更新或修改，</w:t>
            </w:r>
            <w:r>
              <w:rPr>
                <w:rFonts w:hint="eastAsia" w:ascii="宋体" w:hAnsi="宋体" w:eastAsia="宋体" w:cs="宋体"/>
                <w:color w:val="000000"/>
                <w:kern w:val="0"/>
                <w:sz w:val="21"/>
                <w:szCs w:val="21"/>
              </w:rPr>
              <w:t>可自动提示并更新项目。</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物资出库对照。支持与药品、设备、物资等系统进行对接，并与出库种类数量金额进行对照。</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成本提取方案。定义成本采集方案，按照成本项目进行逐条设置。</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收入与成本的归集管理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收入与成本的录入。支持对从其他业务系统采集的数据在成本模块分摊之前直接手工做数据的删除和修改。支持对无法从其他业务系统采集的原始收入与成本进行手工录入，补录方式包括系统直接录入或外部文件导入。</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财务凭证提取。实现从财务系统自动按照部门、科目提取财务凭证数据，并归集到成本核算系统中的成本项目上。支持对数据进行删除、修改操作。</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收入与成本的采集。支持从HIS、物资、人力、财务等外部系统按照预先定义的成本采集方案进行成本数据的采集；支持成本采集方案的灵活定义，并且方案是完全可视化的；支持在归集过程中实现成本数据的校验；支持对其他的系统模块提取的数据进行再处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成本分摊管理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按照国家最</w:t>
            </w:r>
            <w:r>
              <w:rPr>
                <w:rFonts w:hint="eastAsia" w:ascii="宋体" w:hAnsi="宋体" w:eastAsia="宋体" w:cs="宋体"/>
                <w:color w:val="000000"/>
                <w:kern w:val="0"/>
                <w:sz w:val="21"/>
                <w:szCs w:val="21"/>
                <w:lang w:val="en-US" w:eastAsia="zh-CN"/>
              </w:rPr>
              <w:t>新</w:t>
            </w:r>
            <w:r>
              <w:rPr>
                <w:rFonts w:hint="eastAsia" w:ascii="宋体" w:hAnsi="宋体" w:eastAsia="宋体" w:cs="宋体"/>
                <w:color w:val="000000"/>
                <w:kern w:val="0"/>
                <w:sz w:val="21"/>
                <w:szCs w:val="21"/>
              </w:rPr>
              <w:t>《公立医院成本核算指导手册》的“三级四类分摊法”对科室成本数据进行分摊，完成全成本核算工作，并能提供对医疗业务成本、医疗成本、医疗全成本、医院全成本的处理。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基于《公立医院成本核算指导手册》，设置相应的科室成本动因。支持多样化的分配依据（如人数、面积、床位数、服务量、收入等），实现成本分配策略的灵活性。</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分摊管理支持同一科室不同成本项目按不同的动因进行分摊，可同级分摊、定向分摊。</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支持对分摊的数据、科室全成本分摊前后的数据进行校验，查询成本分摊情况，确保分摊结果的准确性。</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如有在财务会计核算中不能细化分摊的成本项目，在成本系统中可以进行分摊。例如：</w:t>
            </w:r>
            <w:r>
              <w:rPr>
                <w:rFonts w:hint="eastAsia" w:ascii="宋体" w:hAnsi="宋体" w:eastAsia="宋体" w:cs="宋体"/>
                <w:color w:val="000000"/>
                <w:kern w:val="0"/>
                <w:sz w:val="21"/>
                <w:szCs w:val="21"/>
              </w:rPr>
              <w:t>科室内不能直接核算到最小核算单元（医疗组、护理组）的成本项目，通过在科室内设置分摊参数，将不可直接计入组的成本项目分摊到各医疗组、护理组与医技组。</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支持诊次成本、床日成本的核算。可从院、科、组级的维度对数据进行展现。</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rPr>
              <w:t>成本报表和分析</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支持《公立医院成本核算指导手册》要求的国家公立医院成本管理报表的自动生成，包括直接成本表、</w:t>
            </w:r>
            <w:r>
              <w:rPr>
                <w:rFonts w:hint="eastAsia" w:ascii="宋体" w:hAnsi="宋体" w:eastAsia="宋体" w:cs="宋体"/>
                <w:color w:val="000000"/>
                <w:kern w:val="0"/>
                <w:sz w:val="21"/>
                <w:szCs w:val="21"/>
                <w:lang w:val="en-US" w:eastAsia="zh-CN"/>
              </w:rPr>
              <w:t>全成本表、</w:t>
            </w:r>
            <w:r>
              <w:rPr>
                <w:rFonts w:hint="eastAsia" w:ascii="宋体" w:hAnsi="宋体" w:eastAsia="宋体" w:cs="宋体"/>
                <w:color w:val="000000"/>
                <w:kern w:val="0"/>
                <w:sz w:val="21"/>
                <w:szCs w:val="21"/>
              </w:rPr>
              <w:t>全成本</w:t>
            </w:r>
            <w:r>
              <w:rPr>
                <w:rFonts w:hint="eastAsia" w:ascii="宋体" w:hAnsi="宋体" w:eastAsia="宋体" w:cs="宋体"/>
                <w:color w:val="000000"/>
                <w:kern w:val="0"/>
                <w:sz w:val="21"/>
                <w:szCs w:val="21"/>
                <w:lang w:val="en-US" w:eastAsia="zh-CN"/>
              </w:rPr>
              <w:t>构成分析</w:t>
            </w:r>
            <w:r>
              <w:rPr>
                <w:rFonts w:hint="eastAsia" w:ascii="宋体" w:hAnsi="宋体" w:eastAsia="宋体" w:cs="宋体"/>
                <w:color w:val="000000"/>
                <w:kern w:val="0"/>
                <w:sz w:val="21"/>
                <w:szCs w:val="21"/>
              </w:rPr>
              <w:t>表、成本分摊汇总表等。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可通过筛选报表数据选项、查询项目等设置，实现多科室、多项目、多期间、多栏目的自定义数据展示。</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支持根据收入成本数据及医疗经营管理相关数据，进行自定义设置及个性化管理，生成医院所需运营报表。</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提供</w:t>
            </w:r>
            <w:r>
              <w:rPr>
                <w:rFonts w:hint="eastAsia" w:ascii="宋体" w:hAnsi="宋体" w:eastAsia="宋体" w:cs="宋体"/>
                <w:color w:val="000000"/>
                <w:kern w:val="0"/>
                <w:sz w:val="21"/>
                <w:szCs w:val="21"/>
                <w:lang w:val="en-US" w:eastAsia="zh-CN"/>
              </w:rPr>
              <w:t>各科室、院级的</w:t>
            </w:r>
            <w:r>
              <w:rPr>
                <w:rFonts w:hint="eastAsia" w:ascii="宋体" w:hAnsi="宋体" w:eastAsia="宋体" w:cs="宋体"/>
                <w:color w:val="000000"/>
                <w:kern w:val="0"/>
                <w:sz w:val="21"/>
                <w:szCs w:val="21"/>
              </w:rPr>
              <w:t>收支结余分析、结构分析、趋势分析、差额分析、量本利分析、指标分析、对比分析等综合分析</w:t>
            </w:r>
            <w:r>
              <w:rPr>
                <w:rFonts w:hint="eastAsia" w:ascii="宋体" w:hAnsi="宋体" w:eastAsia="宋体" w:cs="宋体"/>
                <w:color w:val="000000"/>
                <w:kern w:val="0"/>
                <w:sz w:val="21"/>
                <w:szCs w:val="21"/>
                <w:lang w:val="en-US" w:eastAsia="zh-CN"/>
              </w:rPr>
              <w:t>报表</w:t>
            </w:r>
            <w:r>
              <w:rPr>
                <w:rFonts w:hint="eastAsia" w:ascii="宋体" w:hAnsi="宋体" w:eastAsia="宋体" w:cs="宋体"/>
                <w:color w:val="000000"/>
                <w:kern w:val="0"/>
                <w:sz w:val="21"/>
                <w:szCs w:val="21"/>
              </w:rPr>
              <w:t>。</w:t>
            </w:r>
          </w:p>
        </w:tc>
      </w:tr>
      <w:tr>
        <w:tblPrEx>
          <w:tblCellMar>
            <w:top w:w="0" w:type="dxa"/>
            <w:left w:w="108" w:type="dxa"/>
            <w:bottom w:w="0" w:type="dxa"/>
            <w:right w:w="108" w:type="dxa"/>
          </w:tblCellMar>
        </w:tblPrEx>
        <w:trPr>
          <w:trHeight w:val="1310" w:hRule="atLeast"/>
        </w:trPr>
        <w:tc>
          <w:tcPr>
            <w:tcW w:w="106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项目成本核算</w:t>
            </w:r>
          </w:p>
        </w:tc>
        <w:tc>
          <w:tcPr>
            <w:tcW w:w="681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支持《公立医院成本核算指导手册》中指导的项目成本核算方法，支持但不限于标准成本法、</w:t>
            </w:r>
            <w:r>
              <w:rPr>
                <w:rFonts w:hint="eastAsia" w:ascii="宋体" w:hAnsi="宋体" w:eastAsia="宋体" w:cs="宋体"/>
                <w:color w:val="000000"/>
                <w:kern w:val="0"/>
                <w:sz w:val="21"/>
                <w:szCs w:val="21"/>
                <w:lang w:val="en-US" w:eastAsia="zh-CN"/>
              </w:rPr>
              <w:t>点数成本法、</w:t>
            </w:r>
            <w:r>
              <w:rPr>
                <w:rFonts w:hint="eastAsia" w:ascii="宋体" w:hAnsi="宋体" w:eastAsia="宋体" w:cs="宋体"/>
                <w:color w:val="000000"/>
                <w:kern w:val="0"/>
                <w:sz w:val="21"/>
                <w:szCs w:val="21"/>
              </w:rPr>
              <w:t>作业成本法、比例系数法、成本当量法等方法。可根据核算方法的不同搭建不同的核算模型，支持标准成本法、</w:t>
            </w:r>
            <w:r>
              <w:rPr>
                <w:rFonts w:hint="eastAsia" w:ascii="宋体" w:hAnsi="宋体" w:eastAsia="宋体" w:cs="宋体"/>
                <w:color w:val="000000"/>
                <w:kern w:val="0"/>
                <w:sz w:val="21"/>
                <w:szCs w:val="21"/>
                <w:lang w:val="en-US" w:eastAsia="zh-CN"/>
              </w:rPr>
              <w:t>点数成本法、</w:t>
            </w:r>
            <w:r>
              <w:rPr>
                <w:rFonts w:hint="eastAsia" w:ascii="宋体" w:hAnsi="宋体" w:eastAsia="宋体" w:cs="宋体"/>
                <w:color w:val="000000"/>
                <w:kern w:val="0"/>
                <w:sz w:val="21"/>
                <w:szCs w:val="21"/>
              </w:rPr>
              <w:t>作业成本法、比例系数法、成本当量法，可进行直接成本和间接成本核算模型与参数的搭建，直接成本的作业成本法支持引用作业成本知识库，体现某科室某服务项目的人工配备、材料消耗、设备配置等资源消耗因素。</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数据管理</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提供对医疗服务项目及项目收入数据、科室成本数据、科室工作量的维护以及人员工资、物资数据、资产数据的管理，包括增加、修改、删除、查询、导入</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导出</w:t>
            </w:r>
            <w:r>
              <w:rPr>
                <w:rFonts w:hint="eastAsia" w:ascii="宋体" w:hAnsi="宋体" w:eastAsia="宋体" w:cs="宋体"/>
                <w:color w:val="000000"/>
                <w:kern w:val="0"/>
                <w:sz w:val="21"/>
                <w:szCs w:val="21"/>
              </w:rPr>
              <w:t>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项目成本动因配置</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基于《公立医院成本核算指导手册》《医院医疗服务项目成本核算管理办法》，设置相应的资源动因，涉及范围：科室作业人员数量、科室作业工作量、科室作业面积等内容。</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设置相应的作业动因，涉及范围：科室作业工时、科室项目风险系数等内容，支持增加、修改、删除、查询等。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建立项目作业库，支持查询医疗服务项目涉及的作业。</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核算模型</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支持搭建标准成本法、</w:t>
            </w:r>
            <w:r>
              <w:rPr>
                <w:rFonts w:hint="eastAsia" w:ascii="宋体" w:hAnsi="宋体" w:eastAsia="宋体" w:cs="宋体"/>
                <w:color w:val="000000"/>
                <w:kern w:val="0"/>
                <w:sz w:val="21"/>
                <w:szCs w:val="21"/>
                <w:lang w:val="en-US" w:eastAsia="zh-CN"/>
              </w:rPr>
              <w:t>点数成本法、</w:t>
            </w:r>
            <w:r>
              <w:rPr>
                <w:rFonts w:hint="eastAsia" w:ascii="宋体" w:hAnsi="宋体" w:eastAsia="宋体" w:cs="宋体"/>
                <w:color w:val="000000"/>
                <w:kern w:val="0"/>
                <w:sz w:val="21"/>
                <w:szCs w:val="21"/>
              </w:rPr>
              <w:t>作业成本法、比例系数法、成本当量法核算模型，支持引用作业成本知识库，具备使用作业成本法进行标准成本与实际成本的计算。</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项目成本核算</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借助成本核算软件，计算院级、科级医疗服务项目全成本并校验科室成本与项目成本的关系。</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 xml:space="preserve">直接成本计算 </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借助成本核算软件，按照标准成本法、</w:t>
            </w:r>
            <w:r>
              <w:rPr>
                <w:rFonts w:hint="eastAsia" w:ascii="宋体" w:hAnsi="宋体" w:eastAsia="宋体" w:cs="宋体"/>
                <w:color w:val="000000"/>
                <w:kern w:val="0"/>
                <w:sz w:val="21"/>
                <w:szCs w:val="21"/>
                <w:lang w:val="en-US" w:eastAsia="zh-CN"/>
              </w:rPr>
              <w:t>点数成本法、</w:t>
            </w:r>
            <w:r>
              <w:rPr>
                <w:rFonts w:hint="eastAsia" w:ascii="宋体" w:hAnsi="宋体" w:eastAsia="宋体" w:cs="宋体"/>
                <w:color w:val="000000"/>
                <w:kern w:val="0"/>
                <w:sz w:val="21"/>
                <w:szCs w:val="21"/>
              </w:rPr>
              <w:t>作业成本法、比例系数法、成本当量法的逻辑，先将能直接计入医疗服务项目成本的成本直接计入。</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rPr>
              <w:t xml:space="preserve">间接成本计算 </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使用标准成本法、</w:t>
            </w:r>
            <w:r>
              <w:rPr>
                <w:rFonts w:hint="eastAsia" w:ascii="宋体" w:hAnsi="宋体" w:eastAsia="宋体" w:cs="宋体"/>
                <w:color w:val="000000"/>
                <w:kern w:val="0"/>
                <w:sz w:val="21"/>
                <w:szCs w:val="21"/>
                <w:lang w:val="en-US" w:eastAsia="zh-CN"/>
              </w:rPr>
              <w:t>点数成本法、</w:t>
            </w:r>
            <w:r>
              <w:rPr>
                <w:rFonts w:hint="eastAsia" w:ascii="宋体" w:hAnsi="宋体" w:eastAsia="宋体" w:cs="宋体"/>
                <w:color w:val="000000"/>
                <w:kern w:val="0"/>
                <w:sz w:val="21"/>
                <w:szCs w:val="21"/>
              </w:rPr>
              <w:t>比例系数法、成本当量法对医疗服务项目的间接成本进行分摊时，根据科室性质、医疗服务单元进行间接成本分摊参数进行设置。间接成本比例可对临床科室所执行的项目进行系数分摊（系数包括工作量、工作时长、住院天数、医疗服务项目收入比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使用作业成本法进行资源成本计算时，提供资源动因设置、数据维护，以及资源成本分配计算并对资源成本分配查询。提供作业动因维护、设置，以及根据设置将科室作业成本分摊到科室医疗项目。</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rPr>
              <w:t>项目成本计算</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借助成本核算系统，计算医院级、</w:t>
            </w:r>
            <w:r>
              <w:rPr>
                <w:rFonts w:hint="eastAsia" w:ascii="宋体" w:hAnsi="宋体" w:eastAsia="宋体" w:cs="宋体"/>
                <w:color w:val="000000"/>
                <w:kern w:val="0"/>
                <w:sz w:val="21"/>
                <w:szCs w:val="21"/>
                <w:lang w:val="en-US" w:eastAsia="zh-CN"/>
              </w:rPr>
              <w:t>科</w:t>
            </w:r>
            <w:r>
              <w:rPr>
                <w:rFonts w:hint="eastAsia" w:ascii="宋体" w:hAnsi="宋体" w:eastAsia="宋体" w:cs="宋体"/>
                <w:color w:val="000000"/>
                <w:kern w:val="0"/>
                <w:sz w:val="21"/>
                <w:szCs w:val="21"/>
              </w:rPr>
              <w:t>级、医疗服务项目全成本并校验科室成本与项目成本的关系。</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rPr>
              <w:t>项目成本报表与分析</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根据项目成本核算结果，展现数据信息，实现从成本分摊、成本收益、成本分析、成本结构、成本控制等角度对项目成本核算结果进行报表呈现。</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支持从院级、</w:t>
            </w:r>
            <w:r>
              <w:rPr>
                <w:rFonts w:hint="eastAsia" w:ascii="宋体" w:hAnsi="宋体" w:eastAsia="宋体" w:cs="宋体"/>
                <w:color w:val="000000"/>
                <w:kern w:val="0"/>
                <w:sz w:val="21"/>
                <w:szCs w:val="21"/>
                <w:lang w:val="en-US" w:eastAsia="zh-CN"/>
              </w:rPr>
              <w:t>科</w:t>
            </w:r>
            <w:r>
              <w:rPr>
                <w:rFonts w:hint="eastAsia" w:ascii="宋体" w:hAnsi="宋体" w:eastAsia="宋体" w:cs="宋体"/>
                <w:color w:val="000000"/>
                <w:kern w:val="0"/>
                <w:sz w:val="21"/>
                <w:szCs w:val="21"/>
              </w:rPr>
              <w:t>级、组级层面查看医疗服务项目收费类别总体情况、医疗服务项目排名情况、医疗服务项目成本收益、医疗服务项目成本构成明细等。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可自定义生成各成本类型的院级、</w:t>
            </w:r>
            <w:r>
              <w:rPr>
                <w:rFonts w:hint="eastAsia" w:ascii="宋体" w:hAnsi="宋体" w:eastAsia="宋体" w:cs="宋体"/>
                <w:color w:val="000000"/>
                <w:kern w:val="0"/>
                <w:sz w:val="21"/>
                <w:szCs w:val="21"/>
                <w:lang w:val="en-US" w:eastAsia="zh-CN"/>
              </w:rPr>
              <w:t>科</w:t>
            </w:r>
            <w:r>
              <w:rPr>
                <w:rFonts w:hint="eastAsia" w:ascii="宋体" w:hAnsi="宋体" w:eastAsia="宋体" w:cs="宋体"/>
                <w:color w:val="000000"/>
                <w:kern w:val="0"/>
                <w:sz w:val="21"/>
                <w:szCs w:val="21"/>
              </w:rPr>
              <w:t>级、组级项目成本报表，为医院运营提供指导。</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提供项目成本分析，项目成本趋势分析，对盈利项目、亏损项目情况进行结构、占比及原因分析。</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支持医疗服务项目盈亏数量分析、亏损医疗服务项目分析、支持科级医疗服务项目对比分析、同一医疗服务项目不同科室间对比分析等。</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提供本量利分析，确定医疗服务正常开展所达到的保本点业务量和保本收入总额，用于指导经营采取相应措施。</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提供医疗服务项目的实际成本与目标成本的对比分析。</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成本报表与分析支持数据追溯分析，能对成本数据的来源与组成进行追查。</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9</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分析的报表支持导出EXCEL，方便二次分析。</w:t>
            </w:r>
          </w:p>
        </w:tc>
      </w:tr>
      <w:tr>
        <w:tblPrEx>
          <w:tblCellMar>
            <w:top w:w="0" w:type="dxa"/>
            <w:left w:w="108" w:type="dxa"/>
            <w:bottom w:w="0" w:type="dxa"/>
            <w:right w:w="108" w:type="dxa"/>
          </w:tblCellMar>
        </w:tblPrEx>
        <w:trPr>
          <w:trHeight w:val="1310" w:hRule="atLeast"/>
        </w:trPr>
        <w:tc>
          <w:tcPr>
            <w:tcW w:w="106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病种（DRG）</w:t>
            </w:r>
          </w:p>
          <w:p>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成本核算</w:t>
            </w:r>
          </w:p>
        </w:tc>
        <w:tc>
          <w:tcPr>
            <w:tcW w:w="681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根据医院当地医保政策的要求，支持医院级DRG成本核算基础数据的录入、维护、查询等功能，具体包括：对病案首页、医保结算清单进行查询；对病历收费明细数据进行查询。需能够从相关系统获取并关联DRG分组结果</w:t>
            </w:r>
            <w:r>
              <w:rPr>
                <w:rFonts w:hint="eastAsia" w:ascii="宋体" w:hAnsi="宋体" w:eastAsia="宋体" w:cs="宋体"/>
                <w:color w:val="000000"/>
                <w:kern w:val="0"/>
                <w:sz w:val="21"/>
                <w:szCs w:val="21"/>
                <w:lang w:eastAsia="zh-CN"/>
              </w:rPr>
              <w:t>。</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支持医院级、科室级病种成本的核算。支持DRG成本核算至医疗组单元。</w:t>
            </w:r>
            <w:r>
              <w:rPr>
                <w:rFonts w:hint="eastAsia" w:ascii="宋体" w:hAnsi="宋体" w:eastAsia="宋体" w:cs="宋体"/>
                <w:color w:val="000000"/>
                <w:kern w:val="0"/>
                <w:sz w:val="21"/>
                <w:szCs w:val="21"/>
                <w:lang w:val="en-US" w:eastAsia="zh-CN"/>
              </w:rPr>
              <w:t>系统至少支持</w:t>
            </w:r>
            <w:r>
              <w:rPr>
                <w:rFonts w:hint="eastAsia" w:ascii="宋体" w:hAnsi="宋体" w:eastAsia="宋体" w:cs="宋体"/>
                <w:color w:val="000000"/>
                <w:kern w:val="0"/>
                <w:sz w:val="21"/>
                <w:szCs w:val="21"/>
              </w:rPr>
              <w:t>“项目叠加法”、“</w:t>
            </w:r>
            <w:r>
              <w:rPr>
                <w:rFonts w:hint="eastAsia" w:ascii="宋体" w:hAnsi="宋体" w:eastAsia="宋体" w:cs="宋体"/>
                <w:color w:val="000000"/>
                <w:kern w:val="0"/>
                <w:sz w:val="21"/>
                <w:szCs w:val="21"/>
                <w:lang w:val="en-US" w:eastAsia="zh-CN"/>
              </w:rPr>
              <w:t>参数分配</w:t>
            </w:r>
            <w:r>
              <w:rPr>
                <w:rFonts w:hint="eastAsia" w:ascii="宋体" w:hAnsi="宋体" w:eastAsia="宋体" w:cs="宋体"/>
                <w:color w:val="000000"/>
                <w:kern w:val="0"/>
                <w:sz w:val="21"/>
                <w:szCs w:val="21"/>
              </w:rPr>
              <w:t>法”</w:t>
            </w:r>
            <w:r>
              <w:rPr>
                <w:rFonts w:hint="eastAsia" w:ascii="宋体" w:hAnsi="宋体" w:eastAsia="宋体" w:cs="宋体"/>
                <w:color w:val="000000"/>
                <w:kern w:val="0"/>
                <w:sz w:val="21"/>
                <w:szCs w:val="21"/>
                <w:lang w:val="en-US" w:eastAsia="zh-CN"/>
              </w:rPr>
              <w:t>两种模式</w:t>
            </w:r>
            <w:r>
              <w:rPr>
                <w:rFonts w:hint="eastAsia" w:ascii="宋体" w:hAnsi="宋体" w:eastAsia="宋体" w:cs="宋体"/>
                <w:color w:val="000000"/>
                <w:kern w:val="0"/>
                <w:sz w:val="21"/>
                <w:szCs w:val="21"/>
              </w:rPr>
              <w:t>进行DRG成本核算</w:t>
            </w:r>
            <w:r>
              <w:rPr>
                <w:rFonts w:hint="eastAsia" w:ascii="宋体" w:hAnsi="宋体" w:eastAsia="宋体" w:cs="宋体"/>
                <w:color w:val="000000"/>
                <w:kern w:val="0"/>
                <w:sz w:val="21"/>
                <w:szCs w:val="21"/>
                <w:lang w:val="en-US" w:eastAsia="zh-CN"/>
              </w:rPr>
              <w:t>。允许用户配置各方法的应用范围。</w:t>
            </w:r>
            <w:r>
              <w:rPr>
                <w:rFonts w:hint="eastAsia" w:ascii="宋体" w:hAnsi="宋体" w:eastAsia="宋体" w:cs="宋体"/>
                <w:color w:val="000000"/>
                <w:kern w:val="0"/>
                <w:sz w:val="21"/>
                <w:szCs w:val="21"/>
              </w:rPr>
              <w:t>建立科级核算模型与院级核算模型，医院可灵活选择核算方法。</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3.支持多种成本分摊配置方案，能设定每一级分摊的动因及分摊系数来源，间接成本分摊到DRG病种的全路径可追溯，能看到计算依据和数值。支持创建多个分摊方案，进行分摊结果对比，不影响现行核算方案。</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可对病人病历成本、医疗组病组成本、科室病组成本、院级病组成本、临床路径病组成本进行计算和查询。支持层层钻取查询，可钻取病例成本，病组成本中可钻取项目成本，项目成本中可钻取成本明细。可从DRG的基本情况、成本及成本收益率情况挖掘到各个收费类别的成本及成本收益率情况，再挖掘到各个收费项目的成本。</w:t>
            </w:r>
          </w:p>
          <w:p>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5.支持直观可视化的DRG病种成本分析，</w:t>
            </w:r>
            <w:r>
              <w:rPr>
                <w:rFonts w:hint="eastAsia" w:ascii="宋体" w:hAnsi="宋体" w:eastAsia="宋体" w:cs="宋体"/>
                <w:color w:val="000000"/>
                <w:kern w:val="0"/>
                <w:sz w:val="21"/>
                <w:szCs w:val="21"/>
              </w:rPr>
              <w:t>支持对DRG进行构成分析、效益分析、趋势分析、对比分析、控制分析、单病种分析</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分析维度包括院级、科级、医疗组级等。分析结果以多种图表形式</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包括但不限于饼图、柱状图等</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展示</w:t>
            </w:r>
            <w:r>
              <w:rPr>
                <w:rFonts w:hint="eastAsia" w:ascii="宋体" w:hAnsi="宋体" w:eastAsia="宋体" w:cs="宋体"/>
                <w:color w:val="000000"/>
                <w:kern w:val="0"/>
                <w:sz w:val="21"/>
                <w:szCs w:val="21"/>
                <w:lang w:val="en-US" w:eastAsia="zh-CN"/>
              </w:rPr>
              <w:t>任意层级的成本结构，支持与去年同期、标杆科室进行对比</w:t>
            </w:r>
            <w:r>
              <w:rPr>
                <w:rFonts w:hint="eastAsia" w:ascii="宋体" w:hAnsi="宋体" w:eastAsia="宋体" w:cs="宋体"/>
                <w:color w:val="000000"/>
                <w:kern w:val="0"/>
                <w:sz w:val="21"/>
                <w:szCs w:val="21"/>
              </w:rPr>
              <w:t>，表现形式能体现管理和控制的重点。分析的报表支持导出EXCEL，方便二次分析。</w:t>
            </w:r>
          </w:p>
          <w:p>
            <w:pPr>
              <w:widowControl/>
              <w:jc w:val="left"/>
              <w:rPr>
                <w:rFonts w:hint="eastAsia" w:ascii="宋体" w:hAnsi="宋体" w:eastAsia="宋体" w:cs="宋体"/>
                <w:color w:val="000000"/>
                <w:kern w:val="44"/>
                <w:sz w:val="21"/>
                <w:szCs w:val="21"/>
              </w:rPr>
            </w:pPr>
            <w:r>
              <w:rPr>
                <w:rFonts w:hint="eastAsia" w:ascii="宋体" w:hAnsi="宋体" w:eastAsia="宋体" w:cs="宋体"/>
                <w:color w:val="000000"/>
                <w:kern w:val="0"/>
                <w:sz w:val="21"/>
                <w:szCs w:val="21"/>
                <w:lang w:val="en-US" w:eastAsia="zh-CN"/>
              </w:rPr>
              <w:t>6.支持提供自定义报表分析工具，允许财务人员灵活选择维度、指标、图表类型生成报表，并导出</w:t>
            </w:r>
            <w:r>
              <w:rPr>
                <w:rFonts w:hint="eastAsia" w:ascii="宋体" w:hAnsi="宋体" w:eastAsia="宋体" w:cs="宋体"/>
                <w:color w:val="000000"/>
                <w:kern w:val="0"/>
                <w:sz w:val="21"/>
                <w:szCs w:val="21"/>
              </w:rPr>
              <w:t>EXCEL，方便二次分析。</w:t>
            </w:r>
          </w:p>
        </w:tc>
      </w:tr>
    </w:tbl>
    <w:p>
      <w:pPr>
        <w:pStyle w:val="2"/>
        <w:numPr>
          <w:ilvl w:val="0"/>
          <w:numId w:val="1"/>
        </w:numPr>
        <w:bidi w:val="0"/>
        <w:rPr>
          <w:rFonts w:hint="eastAsia"/>
          <w:lang w:val="en-US" w:eastAsia="zh-CN"/>
        </w:rPr>
      </w:pPr>
      <w:bookmarkStart w:id="12" w:name="_Toc25221"/>
      <w:bookmarkStart w:id="13" w:name="_Toc29499"/>
      <w:r>
        <w:rPr>
          <w:rFonts w:hint="eastAsia"/>
          <w:lang w:val="en-US" w:eastAsia="zh-CN"/>
        </w:rPr>
        <w:t>非功能性需求</w:t>
      </w:r>
      <w:bookmarkEnd w:id="12"/>
      <w:bookmarkEnd w:id="13"/>
      <w:bookmarkStart w:id="14" w:name="_Toc735"/>
      <w:bookmarkStart w:id="15" w:name="_Toc10183"/>
      <w:bookmarkStart w:id="16" w:name="_Toc3391"/>
    </w:p>
    <w:p>
      <w:pPr>
        <w:pStyle w:val="3"/>
        <w:bidi w:val="0"/>
        <w:rPr>
          <w:rFonts w:hint="eastAsia"/>
          <w:lang w:val="en-US" w:eastAsia="zh-CN"/>
        </w:rPr>
      </w:pPr>
      <w:r>
        <w:rPr>
          <w:rFonts w:hint="eastAsia"/>
          <w:lang w:val="en-US" w:eastAsia="zh-CN"/>
        </w:rPr>
        <w:t>（一）</w:t>
      </w:r>
      <w:bookmarkEnd w:id="14"/>
      <w:bookmarkStart w:id="17" w:name="_Toc15101"/>
      <w:r>
        <w:rPr>
          <w:rFonts w:hint="eastAsia"/>
          <w:lang w:val="en-US" w:eastAsia="zh-CN"/>
        </w:rPr>
        <w:t>系统技术要求</w:t>
      </w:r>
      <w:bookmarkEnd w:id="15"/>
      <w:bookmarkEnd w:id="16"/>
      <w:bookmarkEnd w:id="17"/>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总体技术框架：系统应采用成熟、稳定的主流技术架构。核心业务应用须基于B/S架构，支持通过主流浏览器访问。供应商提供的技术平台须具备良好的可扩展性、可维护性与集成能力，以支撑财务核算、成本管理等核心模块的稳定运行与未来扩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快速开发与配置：平台应提供必要的快速开发与配置工具，以支持医院对业务流程的个性化定制。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标准集成接口：系统必须提供标准化、松耦合的集成接口，必须支持基于Web Service、RESTful API等通用技术，以保障与院内其他业务系统的高效、可靠数据交换与服务调用。</w:t>
      </w:r>
      <w:r>
        <w:rPr>
          <w:rFonts w:ascii="宋体" w:hAnsi="宋体"/>
          <w:szCs w:val="21"/>
        </w:rPr>
        <w:t>供应商支持</w:t>
      </w:r>
      <w:r>
        <w:rPr>
          <w:rFonts w:hint="eastAsia" w:ascii="宋体" w:hAnsi="宋体"/>
          <w:szCs w:val="21"/>
        </w:rPr>
        <w:t>提供</w:t>
      </w:r>
      <w:r>
        <w:rPr>
          <w:rFonts w:ascii="宋体" w:hAnsi="宋体"/>
          <w:szCs w:val="21"/>
        </w:rPr>
        <w:t>与医院现有相关系统</w:t>
      </w:r>
      <w:r>
        <w:rPr>
          <w:rFonts w:hint="eastAsia" w:ascii="宋体" w:hAnsi="宋体"/>
          <w:szCs w:val="21"/>
          <w:lang w:val="en-US" w:eastAsia="zh-CN"/>
        </w:rPr>
        <w:t>及银行</w:t>
      </w:r>
      <w:r>
        <w:rPr>
          <w:rFonts w:ascii="宋体" w:hAnsi="宋体"/>
          <w:szCs w:val="21"/>
        </w:rPr>
        <w:t>实现对接</w:t>
      </w:r>
      <w:r>
        <w:rPr>
          <w:rFonts w:hint="eastAsia" w:ascii="宋体" w:hAnsi="宋体"/>
          <w:szCs w:val="21"/>
          <w:lang w:eastAsia="zh-CN"/>
        </w:rPr>
        <w:t>，</w:t>
      </w:r>
      <w:r>
        <w:rPr>
          <w:rFonts w:ascii="宋体" w:hAnsi="宋体"/>
          <w:szCs w:val="21"/>
        </w:rPr>
        <w:t>具体对接内容及要求以医院实际需求为准</w:t>
      </w:r>
      <w:r>
        <w:rPr>
          <w:rFonts w:hint="eastAsia" w:ascii="宋体" w:hAnsi="宋体"/>
          <w:szCs w:val="21"/>
          <w:lang w:eastAsia="zh-CN"/>
        </w:rPr>
        <w:t>；</w:t>
      </w:r>
      <w:r>
        <w:rPr>
          <w:rFonts w:hint="eastAsia" w:ascii="宋体" w:hAnsi="宋体"/>
          <w:szCs w:val="21"/>
        </w:rPr>
        <w:t>需提供标准API接口并提供完整的接口文档</w:t>
      </w:r>
      <w:r>
        <w:rPr>
          <w:rFonts w:hint="eastAsia" w:ascii="宋体" w:hAnsi="宋体"/>
          <w:szCs w:val="21"/>
          <w:lang w:eastAsia="zh-CN"/>
        </w:rPr>
        <w:t>。</w:t>
      </w:r>
      <w:r>
        <w:rPr>
          <w:rFonts w:hint="eastAsia" w:ascii="宋体" w:hAnsi="宋体"/>
          <w:szCs w:val="21"/>
        </w:rPr>
        <w:t>若采购人在项目实施或后续运行阶段提出对接需求，成交人应负责完成接口开发、联调测试等工作，相关服务已包含在本次合同范围内，不再另行收取接口开发或对接服务费用；</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数据库支持：系统应支持主流商用及国产化关系型数据库。供应商须明确承诺其产品可稳定运行于海量（Vastbase）、人大金仓、Oracle、MySQL等主流数据库并负责完成相应的数据库适配与性能优化。</w:t>
      </w:r>
      <w:r>
        <w:rPr>
          <w:rFonts w:hint="eastAsia" w:ascii="宋体" w:hAnsi="宋体" w:cs="宋体"/>
          <w:b w:val="0"/>
          <w:bCs w:val="0"/>
          <w:color w:val="auto"/>
          <w:kern w:val="2"/>
          <w:sz w:val="21"/>
          <w:szCs w:val="21"/>
          <w:highlight w:val="none"/>
          <w:lang w:val="en-US" w:eastAsia="zh-CN" w:bidi="ar-SA"/>
        </w:rPr>
        <w:t>供应商需</w:t>
      </w:r>
      <w:r>
        <w:rPr>
          <w:rFonts w:hint="eastAsia" w:ascii="宋体" w:hAnsi="宋体"/>
          <w:color w:val="auto"/>
          <w:szCs w:val="21"/>
          <w:highlight w:val="none"/>
        </w:rPr>
        <w:t>免费提供不少于2套适配的正版国产化数据库</w:t>
      </w:r>
      <w:r>
        <w:rPr>
          <w:rFonts w:hint="eastAsia" w:ascii="宋体" w:hAnsi="宋体"/>
          <w:color w:val="auto"/>
          <w:szCs w:val="21"/>
          <w:highlight w:val="none"/>
          <w:lang w:eastAsia="zh-CN"/>
        </w:rPr>
        <w:t>，</w:t>
      </w:r>
      <w:r>
        <w:rPr>
          <w:rFonts w:hint="eastAsia" w:ascii="宋体" w:hAnsi="宋体"/>
          <w:color w:val="auto"/>
          <w:szCs w:val="21"/>
          <w:highlight w:val="none"/>
        </w:rPr>
        <w:t>以便实现容灾备份要求</w:t>
      </w:r>
      <w:r>
        <w:rPr>
          <w:rFonts w:hint="eastAsia" w:ascii="宋体" w:hAnsi="宋体"/>
          <w:color w:val="auto"/>
          <w:szCs w:val="21"/>
          <w:highlight w:val="none"/>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部署环境适应性：为满足信创要求，系统须具备跨平台部署能力。供应商须明确承诺支持在国产主流操作系统（如统信UOS、麒麟OS）以及Linux/Windows Server环境下稳定部署与运行，并可提供相应的成功案例证明。</w:t>
      </w:r>
    </w:p>
    <w:p>
      <w:pPr>
        <w:pStyle w:val="3"/>
        <w:bidi w:val="0"/>
        <w:rPr>
          <w:rFonts w:hint="eastAsia"/>
          <w:lang w:val="en-US" w:eastAsia="zh-CN"/>
        </w:rPr>
      </w:pPr>
      <w:bookmarkStart w:id="18" w:name="_Toc28485"/>
      <w:bookmarkStart w:id="19" w:name="_Toc4115"/>
      <w:bookmarkStart w:id="20" w:name="_Toc7541"/>
      <w:r>
        <w:rPr>
          <w:rFonts w:hint="eastAsia"/>
          <w:lang w:val="en-US" w:eastAsia="zh-CN"/>
        </w:rPr>
        <w:t>（二）系统运行指标要求</w:t>
      </w:r>
      <w:bookmarkEnd w:id="18"/>
      <w:bookmarkEnd w:id="19"/>
      <w:bookmarkEnd w:id="20"/>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78"/>
        <w:gridCol w:w="1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7278" w:type="dxa"/>
            <w:shd w:val="clear" w:color="000000" w:fill="F1F1F1"/>
          </w:tcPr>
          <w:p>
            <w:pPr>
              <w:keepNext w:val="0"/>
              <w:keepLines w:val="0"/>
              <w:suppressLineNumbers w:val="0"/>
              <w:spacing w:before="0" w:beforeAutospacing="0" w:after="0" w:afterAutospacing="0" w:line="360" w:lineRule="auto"/>
              <w:ind w:left="0" w:right="0" w:firstLine="60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指标项</w:t>
            </w:r>
          </w:p>
        </w:tc>
        <w:tc>
          <w:tcPr>
            <w:tcW w:w="1244" w:type="dxa"/>
            <w:shd w:val="clear" w:color="000000" w:fill="F1F1F1"/>
          </w:tcPr>
          <w:p>
            <w:pPr>
              <w:keepNext w:val="0"/>
              <w:keepLines w:val="0"/>
              <w:suppressLineNumbers w:val="0"/>
              <w:spacing w:before="0" w:beforeAutospacing="0" w:after="0" w:afterAutospacing="0" w:line="360" w:lineRule="auto"/>
              <w:ind w:left="0" w:right="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指标值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78"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并发操作用户</w:t>
            </w:r>
          </w:p>
        </w:tc>
        <w:tc>
          <w:tcPr>
            <w:tcW w:w="1244"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78"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操作响应时间</w:t>
            </w:r>
          </w:p>
        </w:tc>
        <w:tc>
          <w:tcPr>
            <w:tcW w:w="1244"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78"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一般查询操作响应时间</w:t>
            </w:r>
          </w:p>
        </w:tc>
        <w:tc>
          <w:tcPr>
            <w:tcW w:w="1244"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78"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复杂查询操作响应时间</w:t>
            </w:r>
          </w:p>
        </w:tc>
        <w:tc>
          <w:tcPr>
            <w:tcW w:w="1244"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78"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rPr>
            </w:pPr>
            <w:r>
              <w:rPr>
                <w:rFonts w:hint="eastAsia" w:ascii="宋体" w:hAnsi="宋体" w:eastAsia="宋体" w:cs="宋体"/>
              </w:rPr>
              <w:t>关键批处理</w:t>
            </w:r>
            <w:r>
              <w:rPr>
                <w:rFonts w:hint="eastAsia" w:ascii="宋体" w:hAnsi="宋体" w:eastAsia="宋体" w:cs="宋体"/>
                <w:lang w:val="en-US" w:eastAsia="zh-CN"/>
              </w:rPr>
              <w:t>计算</w:t>
            </w:r>
            <w:r>
              <w:rPr>
                <w:rFonts w:hint="eastAsia" w:ascii="宋体" w:hAnsi="宋体" w:eastAsia="宋体" w:cs="宋体"/>
              </w:rPr>
              <w:t>任务耗时</w:t>
            </w:r>
          </w:p>
        </w:tc>
        <w:tc>
          <w:tcPr>
            <w:tcW w:w="1244" w:type="dxa"/>
          </w:tcPr>
          <w:p>
            <w:pPr>
              <w:keepNext w:val="0"/>
              <w:keepLines w:val="0"/>
              <w:suppressLineNumbers w:val="0"/>
              <w:spacing w:before="0" w:beforeAutospacing="0" w:after="0" w:afterAutospacing="0" w:line="480" w:lineRule="exact"/>
              <w:ind w:left="0" w:right="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&lt;2小时</w:t>
            </w:r>
          </w:p>
        </w:tc>
      </w:tr>
    </w:tbl>
    <w:p>
      <w:pPr>
        <w:pStyle w:val="3"/>
        <w:bidi w:val="0"/>
        <w:rPr>
          <w:rFonts w:hint="eastAsia"/>
          <w:lang w:val="en-US" w:eastAsia="zh-CN"/>
        </w:rPr>
      </w:pPr>
      <w:bookmarkStart w:id="21" w:name="_Toc9967"/>
      <w:bookmarkStart w:id="22" w:name="_Toc3359"/>
      <w:bookmarkStart w:id="23" w:name="_Toc3950"/>
      <w:r>
        <w:rPr>
          <w:rFonts w:hint="eastAsia"/>
          <w:lang w:val="en-US" w:eastAsia="zh-CN"/>
        </w:rPr>
        <w:t>（三）系统安全说明</w:t>
      </w:r>
      <w:bookmarkEnd w:id="21"/>
      <w:bookmarkEnd w:id="22"/>
      <w:bookmarkEnd w:id="2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系统的安全技术方案必须严格遵循《网络安全等级保护基本要求》（GB/T 22239-2019）中第二级（或更高）的安全通用要求及云计算安全扩展要求（如适用）。重点包括：</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身份鉴别与访问控制：实现基于角色和数据的精细化权限管理。</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安全审计：记录并留存所有用户的重要操作日志、系统异常日志，日志留存时间不少于6个月。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数据安全：对敏感财务数据在传输和存储过程中进行加密保护。</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jc w:val="both"/>
        <w:textAlignment w:val="auto"/>
        <w:rPr>
          <w:rFonts w:hint="eastAsia" w:ascii="宋体" w:hAnsi="宋体" w:eastAsia="宋体" w:cs="宋体"/>
          <w:lang w:val="en-US" w:eastAsia="zh-CN"/>
        </w:rPr>
      </w:pPr>
      <w:r>
        <w:rPr>
          <w:rFonts w:hint="eastAsia" w:ascii="宋体" w:hAnsi="宋体" w:eastAsia="宋体" w:cs="宋体"/>
          <w:b w:val="0"/>
          <w:bCs w:val="0"/>
          <w:color w:val="auto"/>
          <w:kern w:val="2"/>
          <w:sz w:val="21"/>
          <w:szCs w:val="21"/>
          <w:highlight w:val="none"/>
          <w:lang w:val="en-US" w:eastAsia="zh-CN" w:bidi="ar-SA"/>
        </w:rPr>
        <w:t>入侵防范与恶意代码防范：系统应具备安全防护能力，或能与医院现有的安全防护体系有效集成。</w:t>
      </w:r>
    </w:p>
    <w:p>
      <w:pPr>
        <w:pStyle w:val="3"/>
        <w:bidi w:val="0"/>
        <w:rPr>
          <w:rFonts w:hint="eastAsia"/>
          <w:lang w:val="en-US" w:eastAsia="zh-CN"/>
        </w:rPr>
      </w:pPr>
      <w:bookmarkStart w:id="24" w:name="_Toc6582"/>
      <w:bookmarkStart w:id="25" w:name="_Toc12077"/>
      <w:bookmarkStart w:id="26" w:name="_Toc28854"/>
      <w:r>
        <w:rPr>
          <w:rFonts w:hint="eastAsia"/>
          <w:lang w:val="en-US" w:eastAsia="zh-CN"/>
        </w:rPr>
        <w:t>（四）系统可靠性、可用性与可维护性</w:t>
      </w:r>
      <w:bookmarkEnd w:id="24"/>
      <w:bookmarkEnd w:id="25"/>
      <w:bookmarkEnd w:id="26"/>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系统年可用率不低于99.5%</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lang w:val="en-US" w:eastAsia="zh-CN"/>
        </w:rPr>
      </w:pPr>
      <w:r>
        <w:rPr>
          <w:rFonts w:hint="eastAsia" w:ascii="宋体" w:hAnsi="宋体" w:eastAsia="宋体" w:cs="宋体"/>
          <w:color w:val="auto"/>
          <w:kern w:val="2"/>
          <w:sz w:val="21"/>
          <w:szCs w:val="21"/>
          <w:highlight w:val="none"/>
          <w:lang w:val="en-US" w:eastAsia="zh-CN" w:bidi="ar-SA"/>
        </w:rPr>
        <w:t>系统应提供统一的、面向系统管理员的参数配置平台，使经过培训的技术人员能够独立完成以下常规维护：会计期间启闭、基础档案（如部门、人员）的同步与对照、常用凭证模板的调整、简单报表格式的修改、工作流节点配置等。</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lang w:val="en-US" w:eastAsia="zh-CN"/>
        </w:rPr>
      </w:pPr>
      <w:r>
        <w:rPr>
          <w:rFonts w:hint="eastAsia" w:ascii="宋体" w:hAnsi="宋体" w:eastAsia="宋体" w:cs="宋体"/>
          <w:lang w:val="en-US" w:eastAsia="zh-CN"/>
        </w:rPr>
        <w:t>备份策略：供应商必须提供完整的本地备份与恢复方案。方案须支持对数据库、应用程序及配置文件的全量备份、增量备份与日志备份。核心业务数据备份频率不得低于每日一次。</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恢复指标：方案必须满足以下可衡量的恢复目标：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恢复时间目标：在发生计划外停机后，系统恢复至可正常提供服务的时间应不超过 4小时。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恢复点目标：系统数据丢失量不得超过 30分钟的业务操作。</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系统的开放性和系统的可扩充性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（1）系统为后续系统升级优化以及与其他管理系统进行管控对接预留接口。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rPr>
      </w:pPr>
      <w:r>
        <w:rPr>
          <w:rFonts w:hint="eastAsia" w:ascii="宋体" w:hAnsi="宋体" w:eastAsia="宋体" w:cs="宋体"/>
          <w:color w:val="auto"/>
          <w:kern w:val="2"/>
          <w:sz w:val="21"/>
          <w:szCs w:val="21"/>
          <w:highlight w:val="none"/>
          <w:lang w:val="en-US" w:eastAsia="zh-CN" w:bidi="ar-SA"/>
        </w:rPr>
        <w:t>（2）系统提供足够的手段进行功能的调整和扩充。</w:t>
      </w:r>
    </w:p>
    <w:p>
      <w:pPr>
        <w:pStyle w:val="2"/>
        <w:numPr>
          <w:ilvl w:val="0"/>
          <w:numId w:val="1"/>
        </w:numPr>
        <w:bidi w:val="0"/>
        <w:rPr>
          <w:rFonts w:hint="eastAsia"/>
          <w:lang w:val="en-US" w:eastAsia="zh-CN"/>
        </w:rPr>
      </w:pPr>
      <w:bookmarkStart w:id="27" w:name="_Toc23875"/>
      <w:bookmarkStart w:id="28" w:name="_Toc16398"/>
      <w:bookmarkStart w:id="29" w:name="_Toc26493"/>
      <w:r>
        <w:rPr>
          <w:rFonts w:hint="eastAsia"/>
          <w:lang w:val="en-US" w:eastAsia="zh-CN"/>
        </w:rPr>
        <w:t>项目实施与服务</w:t>
      </w:r>
      <w:bookmarkEnd w:id="27"/>
      <w:bookmarkEnd w:id="28"/>
      <w:bookmarkEnd w:id="29"/>
    </w:p>
    <w:tbl>
      <w:tblPr>
        <w:tblStyle w:val="9"/>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auto"/>
                <w:kern w:val="2"/>
                <w:szCs w:val="24"/>
                <w:highlight w:val="none"/>
              </w:rPr>
            </w:pPr>
            <w:r>
              <w:rPr>
                <w:rFonts w:hint="eastAsia" w:ascii="宋体" w:hAnsi="宋体" w:eastAsia="宋体" w:cs="宋体"/>
                <w:b w:val="0"/>
                <w:bCs/>
                <w:color w:val="auto"/>
                <w:kern w:val="2"/>
                <w:szCs w:val="24"/>
                <w:highlight w:val="none"/>
              </w:rPr>
              <w:t>合同签订期</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b w:val="0"/>
                <w:bCs/>
                <w:color w:val="auto"/>
                <w:kern w:val="2"/>
                <w:szCs w:val="24"/>
                <w:highlight w:val="none"/>
              </w:rPr>
              <w:t>自成交通知书发出之日起25日内。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0"/>
                <w:sz w:val="21"/>
                <w:szCs w:val="21"/>
                <w:highlight w:val="none"/>
                <w:lang w:val="en-US" w:eastAsia="zh-CN" w:bidi="ar-SA"/>
              </w:rPr>
            </w:pPr>
            <w:r>
              <w:rPr>
                <w:rFonts w:hint="eastAsia" w:ascii="宋体" w:hAnsi="宋体"/>
                <w:color w:val="auto"/>
                <w:szCs w:val="21"/>
              </w:rPr>
              <w:t>服务期限和地点</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1.服务期限</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（1）要求项目总体需在合同签订之后且服务器（医院自备）到位之日起</w:t>
            </w:r>
            <w:r>
              <w:rPr>
                <w:rFonts w:hint="eastAsia" w:ascii="宋体" w:hAnsi="宋体" w:cs="宋体"/>
                <w:color w:val="auto"/>
                <w:kern w:val="2"/>
                <w:highlight w:val="none"/>
                <w:lang w:val="en-US" w:eastAsia="zh-CN"/>
              </w:rPr>
              <w:t>一年</w:t>
            </w:r>
            <w:r>
              <w:rPr>
                <w:rFonts w:hint="eastAsia" w:ascii="宋体" w:hAnsi="宋体" w:eastAsia="宋体" w:cs="宋体"/>
                <w:color w:val="auto"/>
                <w:kern w:val="2"/>
                <w:highlight w:val="none"/>
              </w:rPr>
              <w:t>内完成项目交付工作。</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（2）系统对接：项目正式实施前，采购人与成交人共同明确本项目需对接的业务系统清单，并签署系统对接确认单，双方签署的系统对接确认单中约定的内容需在项目服务期限内全部完成。</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（3）系统应用功能上线：系统全部的应用功能应在系统对接完成后的2个月内全部上线并进行至少1次的免费培训。</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2.服务地点</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color w:val="auto"/>
                <w:kern w:val="2"/>
                <w:highlight w:val="none"/>
              </w:rPr>
              <w:t>南宁市内采购人指定地点，成交人负责将产品运送至采购人指定地点并完成系统软件安装调试，并通过验收合格才可交付采购人使用，成交人须承担由此产生的全部费用。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auto"/>
                <w:kern w:val="2"/>
                <w:szCs w:val="24"/>
                <w:highlight w:val="none"/>
                <w:lang w:val="en-US" w:eastAsia="zh-CN"/>
              </w:rPr>
            </w:pPr>
            <w:r>
              <w:rPr>
                <w:rFonts w:hint="eastAsia" w:ascii="宋体" w:hAnsi="宋体" w:eastAsia="宋体" w:cs="宋体"/>
                <w:b w:val="0"/>
                <w:bCs/>
                <w:color w:val="auto"/>
                <w:kern w:val="2"/>
                <w:szCs w:val="24"/>
                <w:highlight w:val="none"/>
                <w:lang w:val="en-US" w:eastAsia="zh-CN"/>
              </w:rPr>
              <w:t>付款方式</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在</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严格履行合同义务的前提下，</w:t>
            </w:r>
            <w:r>
              <w:rPr>
                <w:rFonts w:hint="eastAsia" w:ascii="宋体" w:hAnsi="宋体" w:eastAsia="宋体" w:cs="宋体"/>
                <w:color w:val="auto"/>
                <w:kern w:val="2"/>
                <w:highlight w:val="none"/>
                <w:lang w:val="en-US" w:eastAsia="zh-CN"/>
              </w:rPr>
              <w:t>招标人</w:t>
            </w:r>
            <w:r>
              <w:rPr>
                <w:rFonts w:hint="eastAsia" w:ascii="宋体" w:hAnsi="宋体" w:eastAsia="宋体" w:cs="宋体"/>
                <w:color w:val="auto"/>
                <w:kern w:val="2"/>
                <w:highlight w:val="none"/>
              </w:rPr>
              <w:t>按照以下方式向中标供应商支付合同价款：</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w:t>
            </w:r>
            <w:r>
              <w:rPr>
                <w:rFonts w:hint="eastAsia" w:ascii="宋体" w:hAnsi="宋体" w:cs="宋体"/>
                <w:color w:val="auto"/>
                <w:kern w:val="2"/>
                <w:highlight w:val="none"/>
                <w:lang w:val="en-US" w:eastAsia="zh-CN"/>
              </w:rPr>
              <w:t>1</w:t>
            </w:r>
            <w:r>
              <w:rPr>
                <w:rFonts w:hint="eastAsia" w:ascii="宋体" w:hAnsi="宋体" w:eastAsia="宋体" w:cs="宋体"/>
                <w:color w:val="auto"/>
                <w:kern w:val="2"/>
                <w:highlight w:val="none"/>
              </w:rPr>
              <w:t>）整体验收合格后，采购人在收到成交人开具发票的60个工作日内支付合同总金额的95%。</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w:t>
            </w:r>
            <w:r>
              <w:rPr>
                <w:rFonts w:hint="eastAsia" w:ascii="宋体" w:hAnsi="宋体" w:cs="宋体"/>
                <w:color w:val="auto"/>
                <w:kern w:val="2"/>
                <w:highlight w:val="none"/>
                <w:lang w:val="en-US" w:eastAsia="zh-CN"/>
              </w:rPr>
              <w:t>2</w:t>
            </w:r>
            <w:r>
              <w:rPr>
                <w:rFonts w:hint="eastAsia" w:ascii="宋体" w:hAnsi="宋体" w:eastAsia="宋体" w:cs="宋体"/>
                <w:color w:val="auto"/>
                <w:kern w:val="2"/>
                <w:highlight w:val="none"/>
              </w:rPr>
              <w:t>）项目维护期满后，采购人在收到成交人开具发票的30个工作日内支付合同总金额的5%。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2"/>
                <w:sz w:val="21"/>
                <w:szCs w:val="21"/>
                <w:highlight w:val="none"/>
                <w:lang w:val="en-US"/>
              </w:rPr>
            </w:pPr>
            <w:r>
              <w:rPr>
                <w:rFonts w:hint="eastAsia" w:ascii="宋体" w:hAnsi="宋体" w:eastAsia="宋体" w:cs="宋体"/>
                <w:b w:val="0"/>
                <w:bCs/>
                <w:color w:val="auto"/>
                <w:kern w:val="2"/>
                <w:szCs w:val="24"/>
                <w:highlight w:val="none"/>
              </w:rPr>
              <w:t>安装调试要求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（1）安装调试服务提供方应当在接到本合同使用部门通知之日起5个工作日内到指定地点对产品进行安装调试；除合同另有约定外，</w:t>
            </w:r>
            <w:r>
              <w:rPr>
                <w:rFonts w:hint="eastAsia" w:ascii="宋体" w:hAnsi="宋体" w:eastAsia="宋体" w:cs="宋体"/>
                <w:color w:val="auto"/>
                <w:kern w:val="2"/>
                <w:highlight w:val="none"/>
                <w:lang w:val="en-US" w:eastAsia="zh-CN"/>
              </w:rPr>
              <w:t>采购人</w:t>
            </w:r>
            <w:r>
              <w:rPr>
                <w:rFonts w:hint="eastAsia" w:ascii="宋体" w:hAnsi="宋体" w:eastAsia="宋体" w:cs="宋体"/>
                <w:color w:val="auto"/>
                <w:kern w:val="2"/>
                <w:highlight w:val="none"/>
              </w:rPr>
              <w:t>或本合同使用部门无需为安装调试服务支付任何费用。</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color w:val="auto"/>
                <w:kern w:val="2"/>
                <w:highlight w:val="none"/>
              </w:rPr>
              <w:t>（2）本合同使用部门为安装调试提供工作场地、电源等条件，产品安装调试所需的耗材应由安装调试服务提供方提供，安装调试服务提供方在安装调试过程中应当遵守</w:t>
            </w:r>
            <w:r>
              <w:rPr>
                <w:rFonts w:hint="eastAsia" w:ascii="宋体" w:hAnsi="宋体" w:eastAsia="宋体" w:cs="宋体"/>
                <w:kern w:val="2"/>
                <w:lang w:val="en-US" w:eastAsia="zh-CN"/>
              </w:rPr>
              <w:t>采购人</w:t>
            </w:r>
            <w:r>
              <w:rPr>
                <w:rFonts w:hint="eastAsia" w:ascii="宋体" w:hAnsi="宋体" w:eastAsia="宋体" w:cs="宋体"/>
                <w:color w:val="auto"/>
                <w:kern w:val="2"/>
                <w:highlight w:val="none"/>
              </w:rPr>
              <w:t>及使用部门工作场所的工作纪律及相关管理规定。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rPr>
              <w:t>产品要求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（1）</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提供的软件产品应当具备</w:t>
            </w:r>
            <w:r>
              <w:rPr>
                <w:rFonts w:hint="eastAsia" w:ascii="宋体" w:hAnsi="宋体" w:eastAsia="宋体" w:cs="宋体"/>
                <w:color w:val="auto"/>
                <w:kern w:val="2"/>
                <w:highlight w:val="none"/>
                <w:lang w:val="en-US" w:eastAsia="zh-CN"/>
              </w:rPr>
              <w:t>采购人</w:t>
            </w:r>
            <w:r>
              <w:rPr>
                <w:rFonts w:hint="eastAsia" w:ascii="宋体" w:hAnsi="宋体" w:eastAsia="宋体" w:cs="宋体"/>
                <w:color w:val="auto"/>
                <w:kern w:val="2"/>
                <w:highlight w:val="none"/>
              </w:rPr>
              <w:t>要求的功能。</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（2）</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保证提供给</w:t>
            </w:r>
            <w:r>
              <w:rPr>
                <w:rFonts w:hint="eastAsia" w:ascii="宋体" w:hAnsi="宋体" w:eastAsia="宋体" w:cs="宋体"/>
                <w:color w:val="auto"/>
                <w:kern w:val="2"/>
                <w:highlight w:val="none"/>
                <w:lang w:val="en-US" w:eastAsia="zh-CN"/>
              </w:rPr>
              <w:t>采购人</w:t>
            </w:r>
            <w:r>
              <w:rPr>
                <w:rFonts w:hint="eastAsia" w:ascii="宋体" w:hAnsi="宋体" w:eastAsia="宋体" w:cs="宋体"/>
                <w:color w:val="auto"/>
                <w:kern w:val="2"/>
                <w:highlight w:val="none"/>
              </w:rPr>
              <w:t>的软件产品已通过软件产品原厂商质量测试和检验，并提供质量合格保证。软件产品内附质量说明或使用说明的，</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同时保证软件产品质量、功能与内附说明一致，保证软件产品能按照内附说明在约定的项目中正常运行或使用。</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（3）</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保证软件产品不包含重大明显的或主要的缺陷、错误，不包含任何恶意的、破坏性的或可能导致未经授权者侵入、操作、控制计算机或计算机数据的计算机病毒、木马程序、后门程序等程序设计或程序代码。</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（4）</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提供的软件必须具有在中国境内的正式合法使用权和销售权、在国内有可靠的技术支持力量、必须为正式版本、必须具有完整的技术资料，本次采购的软件系统应当具备</w:t>
            </w:r>
            <w:r>
              <w:rPr>
                <w:rFonts w:hint="eastAsia" w:ascii="宋体" w:hAnsi="宋体" w:eastAsia="宋体" w:cs="宋体"/>
                <w:color w:val="auto"/>
                <w:kern w:val="2"/>
                <w:highlight w:val="none"/>
                <w:lang w:val="en-US" w:eastAsia="zh-CN"/>
              </w:rPr>
              <w:t>采购人</w:t>
            </w:r>
            <w:r>
              <w:rPr>
                <w:rFonts w:hint="eastAsia" w:ascii="宋体" w:hAnsi="宋体" w:eastAsia="宋体" w:cs="宋体"/>
                <w:color w:val="auto"/>
                <w:kern w:val="2"/>
                <w:highlight w:val="none"/>
              </w:rPr>
              <w:t>要求的功能，且不存在任何侵犯第三方知识产权的情形，软件系统所有权归属</w:t>
            </w:r>
            <w:r>
              <w:rPr>
                <w:rFonts w:hint="eastAsia" w:ascii="宋体" w:hAnsi="宋体" w:eastAsia="宋体" w:cs="宋体"/>
                <w:color w:val="auto"/>
                <w:kern w:val="2"/>
                <w:highlight w:val="none"/>
                <w:lang w:val="en-US" w:eastAsia="zh-CN"/>
              </w:rPr>
              <w:t>采购人</w:t>
            </w:r>
            <w:r>
              <w:rPr>
                <w:rFonts w:hint="eastAsia" w:ascii="宋体" w:hAnsi="宋体" w:eastAsia="宋体" w:cs="宋体"/>
                <w:color w:val="auto"/>
                <w:kern w:val="2"/>
                <w:highlight w:val="none"/>
              </w:rPr>
              <w:t>。</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color w:val="auto"/>
                <w:kern w:val="2"/>
                <w:highlight w:val="none"/>
              </w:rPr>
              <w:t>（5）</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需要根据需求分析的结果，对整个软件系统进行搭建，如系统框架搭建、数据库搭建等，并在搭建完成后进行测试，检查搭建过程中存在的问题，发现问题后立即修改纠正。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rPr>
              <w:t>验收标准及方法</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系统安装完毕后，双方确认系统开通试运行日期，在试运行期间，若系统指标无法达到本项目所要求的技术参数和功能要求的，中标供应商须进行整改，试运行期做相应顺延。同时，在试运行期间，若系统运行过程中软件自身原因出现故障，中标供应商须无条件重新检测并调试直至验收合格交付使用。验收合格标准为</w:t>
            </w:r>
            <w:r>
              <w:rPr>
                <w:rFonts w:hint="eastAsia" w:ascii="宋体" w:hAnsi="宋体" w:eastAsia="宋体" w:cs="宋体"/>
                <w:color w:val="auto"/>
                <w:kern w:val="2"/>
                <w:sz w:val="21"/>
                <w:szCs w:val="21"/>
                <w:highlight w:val="none"/>
                <w:lang w:val="en-US" w:eastAsia="zh-CN"/>
              </w:rPr>
              <w:t>系统</w:t>
            </w:r>
            <w:r>
              <w:rPr>
                <w:rFonts w:hint="eastAsia" w:ascii="宋体" w:hAnsi="宋体" w:eastAsia="宋体" w:cs="宋体"/>
                <w:color w:val="auto"/>
                <w:kern w:val="2"/>
                <w:sz w:val="21"/>
                <w:szCs w:val="21"/>
                <w:highlight w:val="none"/>
              </w:rPr>
              <w:t>正常使用3个月无异常。</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验收过程中所产生的一切费用均由中标供应商承担，报价时应考虑相关费用。</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保留对中标供应商所提供产品、服务进行全面测试的权利，如有虚假应标、不满足招标文件及投标文件要求的，中标供应商承担所有责任和费用，</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保留进一步追究责任的权利。</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验收时，中标供应商需向使用方</w:t>
            </w:r>
            <w:r>
              <w:rPr>
                <w:rFonts w:hint="eastAsia" w:ascii="宋体" w:hAnsi="宋体" w:eastAsia="宋体" w:cs="宋体"/>
                <w:b w:val="0"/>
                <w:bCs/>
                <w:color w:val="auto"/>
                <w:kern w:val="2"/>
                <w:sz w:val="21"/>
                <w:szCs w:val="21"/>
                <w:highlight w:val="none"/>
                <w:lang w:val="en-US" w:eastAsia="zh-CN"/>
              </w:rPr>
              <w:t>广西壮族自治区江滨医院</w:t>
            </w:r>
            <w:r>
              <w:rPr>
                <w:rFonts w:hint="eastAsia" w:ascii="宋体" w:hAnsi="宋体" w:eastAsia="宋体" w:cs="宋体"/>
                <w:color w:val="auto"/>
                <w:kern w:val="2"/>
                <w:sz w:val="21"/>
                <w:szCs w:val="21"/>
                <w:highlight w:val="none"/>
              </w:rPr>
              <w:t>提供完整的技术资料，包括但不限于系统使用说明、完整的安装、操作、使用和维护手册、图纸、详细说明书、项目实施方案、进度计划、月报、周报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源代码</w:t>
            </w:r>
            <w:r>
              <w:rPr>
                <w:rFonts w:hint="eastAsia" w:ascii="宋体" w:hAnsi="宋体" w:eastAsia="宋体" w:cs="宋体"/>
                <w:color w:val="auto"/>
                <w:kern w:val="2"/>
                <w:sz w:val="21"/>
                <w:szCs w:val="21"/>
                <w:highlight w:val="none"/>
              </w:rPr>
              <w:t>等，否则不予验收。</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验收依据：招标文件、投标文件以及国家和行业验收规范要求及合同中的相关条款。</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数量验收：中标供应商提交成果，由双方对照采购需求（包含功能目标、技术指标）进行验收。</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验收方法：由</w:t>
            </w:r>
            <w:r>
              <w:rPr>
                <w:rFonts w:hint="eastAsia" w:ascii="宋体" w:hAnsi="宋体" w:eastAsia="宋体" w:cs="宋体"/>
                <w:bCs/>
                <w:color w:val="auto"/>
                <w:kern w:val="2"/>
                <w:sz w:val="21"/>
                <w:szCs w:val="21"/>
                <w:highlight w:val="none"/>
                <w:lang w:val="en-US" w:eastAsia="zh-CN"/>
              </w:rPr>
              <w:t>招标人</w:t>
            </w:r>
            <w:r>
              <w:rPr>
                <w:rFonts w:hint="eastAsia" w:ascii="宋体" w:hAnsi="宋体" w:eastAsia="宋体" w:cs="宋体"/>
                <w:color w:val="auto"/>
                <w:kern w:val="2"/>
                <w:sz w:val="21"/>
                <w:szCs w:val="21"/>
                <w:highlight w:val="none"/>
              </w:rPr>
              <w:t>对照招标文件的功能目标及技术指标全面核对检验，中标供应商须配合</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对服务成果进行验收。</w:t>
            </w:r>
          </w:p>
          <w:p>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right="0"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有权委托有资质的第三方组织邀请相关部门、单位及有关技术专家针对交付成果、进行测试检验，如发现不符合招标文件的技术需求及要求或提供虚假承诺的，按相关规定</w:t>
            </w:r>
            <w:r>
              <w:rPr>
                <w:rFonts w:hint="eastAsia" w:ascii="宋体" w:hAnsi="宋体" w:eastAsia="宋体" w:cs="宋体"/>
                <w:color w:val="auto"/>
                <w:kern w:val="2"/>
                <w:sz w:val="21"/>
                <w:szCs w:val="21"/>
                <w:highlight w:val="none"/>
                <w:lang w:val="en-US" w:eastAsia="zh-CN"/>
              </w:rPr>
              <w:t>作</w:t>
            </w:r>
            <w:r>
              <w:rPr>
                <w:rFonts w:hint="eastAsia" w:ascii="宋体" w:hAnsi="宋体" w:eastAsia="宋体" w:cs="宋体"/>
                <w:color w:val="auto"/>
                <w:kern w:val="2"/>
                <w:sz w:val="21"/>
                <w:szCs w:val="21"/>
                <w:highlight w:val="none"/>
              </w:rPr>
              <w:t>违约处理，中标供应商承担所有责任和费用，</w:t>
            </w:r>
            <w:r>
              <w:rPr>
                <w:rFonts w:hint="eastAsia" w:ascii="宋体" w:hAnsi="宋体" w:eastAsia="宋体" w:cs="宋体"/>
                <w:color w:val="auto"/>
                <w:kern w:val="2"/>
                <w:sz w:val="21"/>
                <w:szCs w:val="21"/>
                <w:highlight w:val="none"/>
                <w:lang w:val="en-US" w:eastAsia="zh-CN"/>
              </w:rPr>
              <w:t>招标</w:t>
            </w:r>
            <w:r>
              <w:rPr>
                <w:rFonts w:hint="eastAsia" w:ascii="宋体" w:hAnsi="宋体" w:eastAsia="宋体" w:cs="宋体"/>
                <w:color w:val="auto"/>
                <w:kern w:val="2"/>
                <w:sz w:val="21"/>
                <w:szCs w:val="21"/>
                <w:highlight w:val="none"/>
              </w:rPr>
              <w:t>人保留进一步追究责任的权利。</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（9）</w:t>
            </w:r>
            <w:r>
              <w:rPr>
                <w:rFonts w:hint="eastAsia" w:ascii="宋体" w:hAnsi="宋体" w:eastAsia="宋体" w:cs="宋体"/>
                <w:color w:val="auto"/>
                <w:kern w:val="2"/>
                <w:sz w:val="21"/>
                <w:szCs w:val="21"/>
                <w:highlight w:val="none"/>
              </w:rPr>
              <w:t>本项目所有涉及系统功能模块，试运行测评完成后，对测评不通过的部分，</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须无条件整改，直至整改通过，超出20工作日仍不合格，项目将不予整体验收。因</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原因导致的测评不通过，而导致项目无法整体验收的，视为</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严重违约，</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须退回</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已经支付的所有款项，由此造成的损失由</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承担。</w:t>
            </w:r>
          </w:p>
          <w:p>
            <w:pPr>
              <w:keepNext w:val="0"/>
              <w:keepLines w:val="0"/>
              <w:pageBreakBefore w:val="0"/>
              <w:suppressLineNumbers w:val="0"/>
              <w:kinsoku/>
              <w:wordWrap/>
              <w:overflowPunct/>
              <w:topLinePunct w:val="0"/>
              <w:bidi w:val="0"/>
              <w:spacing w:before="0" w:beforeAutospacing="0" w:after="0" w:afterAutospacing="0" w:line="44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（10）</w:t>
            </w:r>
            <w:r>
              <w:rPr>
                <w:rFonts w:hint="eastAsia" w:ascii="宋体" w:hAnsi="宋体" w:eastAsia="宋体" w:cs="宋体"/>
                <w:color w:val="auto"/>
                <w:kern w:val="2"/>
                <w:sz w:val="21"/>
                <w:szCs w:val="21"/>
                <w:highlight w:val="none"/>
              </w:rPr>
              <w:t>在本项目公开试运行使用后，要求将各个阶段产生的全面、规范的成果和文档资料交付给</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根据最终的验收报告，确认各项功能正常运行，同时检查随机文件应齐整，否则不予验收。</w:t>
            </w:r>
          </w:p>
          <w:p>
            <w:pPr>
              <w:keepNext w:val="0"/>
              <w:keepLines w:val="0"/>
              <w:pageBreakBefore w:val="0"/>
              <w:suppressLineNumbers w:val="0"/>
              <w:kinsoku/>
              <w:wordWrap/>
              <w:overflowPunct/>
              <w:topLinePunct w:val="0"/>
              <w:bidi w:val="0"/>
              <w:spacing w:before="0" w:beforeAutospacing="0" w:after="0" w:afterAutospacing="0" w:line="360" w:lineRule="exact"/>
              <w:ind w:left="0" w:right="0" w:firstLine="420" w:firstLineChars="200"/>
              <w:jc w:val="left"/>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w:t>
            </w:r>
            <w:r>
              <w:rPr>
                <w:rFonts w:hint="eastAsia" w:ascii="宋体" w:hAnsi="宋体" w:eastAsia="宋体" w:cs="宋体"/>
                <w:color w:val="auto"/>
                <w:kern w:val="2"/>
                <w:sz w:val="21"/>
                <w:szCs w:val="21"/>
                <w:highlight w:val="none"/>
              </w:rPr>
              <w:t>由于</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的原因造成</w:t>
            </w:r>
            <w:r>
              <w:rPr>
                <w:rFonts w:hint="eastAsia" w:ascii="宋体" w:hAnsi="宋体" w:eastAsia="宋体" w:cs="宋体"/>
                <w:color w:val="auto"/>
                <w:kern w:val="2"/>
                <w:sz w:val="21"/>
                <w:szCs w:val="21"/>
                <w:highlight w:val="none"/>
                <w:lang w:eastAsia="zh-CN"/>
              </w:rPr>
              <w:t>招标人</w:t>
            </w:r>
            <w:r>
              <w:rPr>
                <w:rFonts w:hint="eastAsia" w:ascii="宋体" w:hAnsi="宋体" w:eastAsia="宋体" w:cs="宋体"/>
                <w:color w:val="auto"/>
                <w:kern w:val="2"/>
                <w:sz w:val="21"/>
                <w:szCs w:val="21"/>
                <w:highlight w:val="none"/>
              </w:rPr>
              <w:t>不能按时验收合格并正常使用的，由此造成的损失由</w:t>
            </w:r>
            <w:r>
              <w:rPr>
                <w:rFonts w:hint="eastAsia" w:ascii="宋体" w:hAnsi="宋体" w:eastAsia="宋体" w:cs="宋体"/>
                <w:color w:val="auto"/>
                <w:kern w:val="2"/>
                <w:sz w:val="21"/>
                <w:szCs w:val="21"/>
                <w:highlight w:val="none"/>
                <w:lang w:eastAsia="zh-CN"/>
              </w:rPr>
              <w:t>中标供应商</w:t>
            </w:r>
            <w:r>
              <w:rPr>
                <w:rFonts w:hint="eastAsia" w:ascii="宋体" w:hAnsi="宋体" w:eastAsia="宋体" w:cs="宋体"/>
                <w:color w:val="auto"/>
                <w:kern w:val="2"/>
                <w:sz w:val="21"/>
                <w:szCs w:val="21"/>
                <w:highlight w:val="none"/>
              </w:rPr>
              <w:t>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auto"/>
                <w:kern w:val="2"/>
                <w:szCs w:val="24"/>
                <w:highlight w:val="none"/>
              </w:rPr>
            </w:pPr>
            <w:r>
              <w:rPr>
                <w:rFonts w:hint="eastAsia" w:ascii="宋体" w:hAnsi="宋体" w:eastAsia="宋体" w:cs="宋体"/>
                <w:b w:val="0"/>
                <w:bCs/>
                <w:color w:val="auto"/>
                <w:kern w:val="2"/>
                <w:szCs w:val="24"/>
                <w:highlight w:val="none"/>
              </w:rPr>
              <w:t>售后服务</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rPr>
              <w:t>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项目自验收之日起免费维保期不少于2年，免费维保期自采购人、成交人双方代表在验收单上签字之日起计算。</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成交人为采购人提供软件免费售后服务，为采购人作技术支持，保证采购人顺利运行系统。</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维保期内，</w:t>
            </w:r>
            <w:r>
              <w:rPr>
                <w:rFonts w:hint="eastAsia" w:ascii="宋体" w:hAnsi="宋体" w:eastAsia="宋体" w:cs="宋体"/>
                <w:color w:val="auto"/>
                <w:kern w:val="2"/>
                <w:highlight w:val="none"/>
                <w:lang w:val="en-US" w:eastAsia="zh-CN"/>
              </w:rPr>
              <w:t>若</w:t>
            </w:r>
            <w:r>
              <w:rPr>
                <w:rFonts w:hint="eastAsia" w:ascii="宋体" w:hAnsi="宋体" w:eastAsia="宋体" w:cs="宋体"/>
                <w:color w:val="auto"/>
                <w:kern w:val="2"/>
                <w:highlight w:val="none"/>
              </w:rPr>
              <w:t>采购人更换或升级已与</w:t>
            </w:r>
            <w:r>
              <w:rPr>
                <w:rFonts w:hint="eastAsia" w:ascii="宋体" w:hAnsi="宋体" w:cs="宋体"/>
                <w:color w:val="auto"/>
                <w:kern w:val="2"/>
                <w:highlight w:val="none"/>
                <w:lang w:val="en-US" w:eastAsia="zh-CN"/>
              </w:rPr>
              <w:t>本系统</w:t>
            </w:r>
            <w:r>
              <w:rPr>
                <w:rFonts w:hint="eastAsia" w:ascii="宋体" w:hAnsi="宋体" w:eastAsia="宋体" w:cs="宋体"/>
                <w:color w:val="auto"/>
                <w:kern w:val="2"/>
                <w:highlight w:val="none"/>
              </w:rPr>
              <w:t>实现对接的</w:t>
            </w:r>
            <w:r>
              <w:rPr>
                <w:rFonts w:hint="eastAsia" w:ascii="宋体" w:hAnsi="宋体" w:cs="宋体"/>
                <w:color w:val="auto"/>
                <w:kern w:val="2"/>
                <w:highlight w:val="none"/>
                <w:lang w:val="en-US" w:eastAsia="zh-CN"/>
              </w:rPr>
              <w:t>银行及医院HRP</w:t>
            </w:r>
            <w:r>
              <w:rPr>
                <w:rFonts w:hint="eastAsia" w:ascii="宋体" w:hAnsi="宋体" w:eastAsia="宋体" w:cs="宋体"/>
                <w:color w:val="auto"/>
                <w:kern w:val="2"/>
                <w:highlight w:val="none"/>
              </w:rPr>
              <w:t>等系统，成交人应提供</w:t>
            </w:r>
            <w:r>
              <w:rPr>
                <w:rFonts w:hint="eastAsia" w:ascii="宋体" w:hAnsi="宋体" w:eastAsia="宋体" w:cs="宋体"/>
                <w:color w:val="auto"/>
                <w:kern w:val="2"/>
                <w:highlight w:val="none"/>
                <w:lang w:val="en-US" w:eastAsia="zh-CN"/>
              </w:rPr>
              <w:t>必要的</w:t>
            </w:r>
            <w:r>
              <w:rPr>
                <w:rFonts w:hint="eastAsia" w:ascii="宋体" w:hAnsi="宋体" w:eastAsia="宋体" w:cs="宋体"/>
                <w:color w:val="auto"/>
                <w:kern w:val="2"/>
                <w:highlight w:val="none"/>
              </w:rPr>
              <w:t>技术配合</w:t>
            </w:r>
            <w:r>
              <w:rPr>
                <w:rFonts w:hint="eastAsia" w:ascii="宋体" w:hAnsi="宋体" w:eastAsia="宋体" w:cs="宋体"/>
                <w:color w:val="auto"/>
                <w:kern w:val="2"/>
                <w:highlight w:val="none"/>
                <w:lang w:val="en-US" w:eastAsia="zh-CN"/>
              </w:rPr>
              <w:t>与</w:t>
            </w:r>
            <w:r>
              <w:rPr>
                <w:rFonts w:hint="eastAsia" w:ascii="宋体" w:hAnsi="宋体" w:eastAsia="宋体" w:cs="宋体"/>
                <w:color w:val="auto"/>
                <w:kern w:val="2"/>
                <w:highlight w:val="none"/>
              </w:rPr>
              <w:t>接口适配服务，保障系统间数据正常交互。相关服务不另收取费用。</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须提供常设每周7天*24小时服务专线和长期的技术支持，售后服务机构须设专业人员提供远程服务。若远程维护无法解决的，成交人应及时安排人员前往现场处理故障，自报障时起算，系统重大故障问题：30分钟内响应，2小时内安排人员到达现场，6小时内提供解决方案及相应的补救措施并解决问题，24个小时内解除重大故障问题。系统一般故障问题：响应时间为1小时，8小时内提供解决方案并对错误进行修改，不影响主要业务运行的双方可协商解决问题的时间。</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须选派具有两年以上相关工作经验的技术或运维人员负责开发维护工作，验收后软件工程师每季度至少巡检一次，对系统进行检查。</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在项目实施与维护期间过程中，采购人存在对一些软件系统更改和进行适应性维护的需求，成交人接到采购人的需求后，需与采购人共同确认需求方案，并须免费提供客户化修改的执行计划，并与采购人双方进行工作量的评估，不超出三个人日工作时间内的工作量，不得另外收取费用。</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成交人应提供系统扩充、升级方面的技术支持服务</w:t>
            </w:r>
            <w:r>
              <w:rPr>
                <w:rFonts w:hint="eastAsia" w:ascii="宋体" w:hAnsi="宋体" w:eastAsia="宋体" w:cs="宋体"/>
                <w:sz w:val="24"/>
                <w:szCs w:val="21"/>
              </w:rPr>
              <w:t>。</w:t>
            </w:r>
          </w:p>
          <w:p>
            <w:pPr>
              <w:keepNext w:val="0"/>
              <w:keepLines w:val="0"/>
              <w:pageBreakBefore w:val="0"/>
              <w:widowControl w:val="0"/>
              <w:numPr>
                <w:ilvl w:val="0"/>
                <w:numId w:val="5"/>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b w:val="0"/>
                <w:bCs/>
                <w:color w:val="auto"/>
                <w:kern w:val="2"/>
                <w:sz w:val="21"/>
                <w:szCs w:val="21"/>
                <w:highlight w:val="none"/>
                <w:lang w:val="en-US" w:eastAsia="zh-CN"/>
              </w:rPr>
            </w:pPr>
            <w:r>
              <w:rPr>
                <w:rFonts w:hint="eastAsia" w:ascii="宋体" w:hAnsi="宋体" w:eastAsia="宋体" w:cs="宋体"/>
                <w:color w:val="auto"/>
                <w:kern w:val="2"/>
                <w:highlight w:val="none"/>
              </w:rPr>
              <w:t>维保期内软件版本应免费升级，</w:t>
            </w:r>
            <w:r>
              <w:rPr>
                <w:rFonts w:hint="eastAsia" w:ascii="宋体" w:hAnsi="宋体" w:eastAsia="宋体" w:cs="宋体"/>
                <w:color w:val="auto"/>
                <w:kern w:val="2"/>
                <w:highlight w:val="none"/>
                <w:lang w:val="en-US" w:eastAsia="zh-CN"/>
              </w:rPr>
              <w:t>并免费对医院内部各个系统及银行系统进行接口对接。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auto"/>
                <w:kern w:val="2"/>
                <w:szCs w:val="24"/>
                <w:highlight w:val="none"/>
                <w:lang w:val="en-US" w:eastAsia="zh-CN"/>
              </w:rPr>
            </w:pPr>
            <w:r>
              <w:rPr>
                <w:rFonts w:hint="eastAsia" w:ascii="宋体" w:hAnsi="宋体" w:eastAsia="宋体" w:cs="宋体"/>
                <w:b w:val="0"/>
                <w:bCs/>
                <w:color w:val="auto"/>
                <w:kern w:val="2"/>
                <w:szCs w:val="24"/>
                <w:highlight w:val="none"/>
              </w:rPr>
              <w:t>质量、安装及验收标准要求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cs="宋体"/>
                <w:color w:val="auto"/>
                <w:kern w:val="2"/>
                <w:highlight w:val="none"/>
                <w:lang w:eastAsia="zh-CN"/>
              </w:rPr>
              <w:t>（</w:t>
            </w:r>
            <w:r>
              <w:rPr>
                <w:rFonts w:hint="eastAsia" w:ascii="宋体" w:hAnsi="宋体" w:eastAsia="宋体" w:cs="宋体"/>
                <w:color w:val="auto"/>
                <w:kern w:val="2"/>
                <w:highlight w:val="none"/>
              </w:rPr>
              <w:t>1</w:t>
            </w:r>
            <w:r>
              <w:rPr>
                <w:rFonts w:hint="eastAsia" w:ascii="宋体" w:hAnsi="宋体" w:cs="宋体"/>
                <w:color w:val="auto"/>
                <w:kern w:val="2"/>
                <w:highlight w:val="none"/>
                <w:lang w:eastAsia="zh-CN"/>
              </w:rPr>
              <w:t>）</w:t>
            </w:r>
            <w:r>
              <w:rPr>
                <w:rFonts w:hint="eastAsia" w:ascii="宋体" w:hAnsi="宋体" w:eastAsia="宋体" w:cs="宋体"/>
                <w:color w:val="auto"/>
                <w:kern w:val="2"/>
                <w:highlight w:val="none"/>
              </w:rPr>
              <w:t>成交人提供系统功能、性能及指标符合或优于国家及采购文件提出的有关技术、质量、安全标准及要求的系统，并承诺软件系统为最新版本。</w:t>
            </w:r>
          </w:p>
          <w:p>
            <w:pPr>
              <w:keepNext w:val="0"/>
              <w:keepLines w:val="0"/>
              <w:pageBreakBefore w:val="0"/>
              <w:widowControl w:val="0"/>
              <w:numPr>
                <w:ilvl w:val="0"/>
                <w:numId w:val="0"/>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color w:val="auto"/>
                <w:kern w:val="2"/>
                <w:highlight w:val="none"/>
              </w:rPr>
            </w:pPr>
            <w:r>
              <w:rPr>
                <w:rFonts w:hint="eastAsia" w:ascii="宋体" w:hAnsi="宋体" w:cs="宋体"/>
                <w:color w:val="auto"/>
                <w:kern w:val="2"/>
                <w:highlight w:val="none"/>
                <w:lang w:eastAsia="zh-CN"/>
              </w:rPr>
              <w:t>（</w:t>
            </w:r>
            <w:r>
              <w:rPr>
                <w:rFonts w:hint="eastAsia" w:ascii="宋体" w:hAnsi="宋体" w:eastAsia="宋体" w:cs="宋体"/>
                <w:color w:val="auto"/>
                <w:kern w:val="2"/>
                <w:highlight w:val="none"/>
              </w:rPr>
              <w:t>2</w:t>
            </w:r>
            <w:r>
              <w:rPr>
                <w:rFonts w:hint="eastAsia" w:ascii="宋体" w:hAnsi="宋体" w:cs="宋体"/>
                <w:color w:val="auto"/>
                <w:kern w:val="2"/>
                <w:highlight w:val="none"/>
                <w:lang w:eastAsia="zh-CN"/>
              </w:rPr>
              <w:t>）</w:t>
            </w:r>
            <w:r>
              <w:rPr>
                <w:rFonts w:hint="eastAsia" w:ascii="宋体" w:hAnsi="宋体" w:eastAsia="宋体" w:cs="宋体"/>
                <w:color w:val="auto"/>
                <w:kern w:val="2"/>
                <w:highlight w:val="none"/>
              </w:rPr>
              <w:t>验收按国家有关的规定、规范进行。国家有强制性规定的项目验收，按国家规定执行，本项目必须严格遵循国家及相关部门的要求。</w:t>
            </w:r>
          </w:p>
          <w:p>
            <w:pPr>
              <w:keepNext w:val="0"/>
              <w:keepLines w:val="0"/>
              <w:pageBreakBefore w:val="0"/>
              <w:widowControl w:val="0"/>
              <w:numPr>
                <w:ilvl w:val="0"/>
                <w:numId w:val="0"/>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right="0" w:rightChars="0" w:firstLine="420" w:firstLineChars="200"/>
              <w:jc w:val="both"/>
              <w:textAlignment w:val="auto"/>
              <w:rPr>
                <w:rFonts w:hint="eastAsia" w:ascii="宋体" w:hAnsi="宋体" w:eastAsia="宋体" w:cs="宋体"/>
                <w:b w:val="0"/>
                <w:bCs/>
                <w:color w:val="auto"/>
                <w:kern w:val="2"/>
                <w:szCs w:val="24"/>
                <w:highlight w:val="none"/>
                <w:lang w:val="en-US" w:eastAsia="zh-CN"/>
              </w:rPr>
            </w:pPr>
            <w:r>
              <w:rPr>
                <w:rFonts w:hint="eastAsia" w:ascii="宋体" w:hAnsi="宋体" w:cs="宋体"/>
                <w:color w:val="auto"/>
                <w:kern w:val="2"/>
                <w:highlight w:val="none"/>
                <w:lang w:eastAsia="zh-CN"/>
              </w:rPr>
              <w:t>（</w:t>
            </w:r>
            <w:r>
              <w:rPr>
                <w:rFonts w:hint="eastAsia" w:ascii="宋体" w:hAnsi="宋体" w:eastAsia="宋体" w:cs="宋体"/>
                <w:color w:val="auto"/>
                <w:kern w:val="2"/>
                <w:highlight w:val="none"/>
              </w:rPr>
              <w:t>3</w:t>
            </w:r>
            <w:r>
              <w:rPr>
                <w:rFonts w:hint="eastAsia" w:ascii="宋体" w:hAnsi="宋体" w:cs="宋体"/>
                <w:color w:val="auto"/>
                <w:kern w:val="2"/>
                <w:highlight w:val="none"/>
                <w:lang w:eastAsia="zh-CN"/>
              </w:rPr>
              <w:t>）</w:t>
            </w:r>
            <w:r>
              <w:rPr>
                <w:rFonts w:hint="eastAsia" w:ascii="宋体" w:hAnsi="宋体" w:eastAsia="宋体" w:cs="宋体"/>
                <w:color w:val="auto"/>
                <w:kern w:val="2"/>
                <w:highlight w:val="none"/>
              </w:rPr>
              <w:t>系统对接：要求全部完成系统对接确认单中约定的相关业务系统的对接。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rPr>
              <w:t>知识产权要求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360" w:lineRule="exact"/>
              <w:ind w:left="0" w:right="0" w:firstLine="420" w:firstLineChars="200"/>
              <w:jc w:val="left"/>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中标</w:t>
            </w:r>
            <w:r>
              <w:rPr>
                <w:rFonts w:hint="eastAsia" w:ascii="宋体" w:hAnsi="宋体" w:eastAsia="宋体" w:cs="宋体"/>
                <w:bCs/>
                <w:color w:val="auto"/>
                <w:kern w:val="2"/>
                <w:sz w:val="21"/>
                <w:szCs w:val="21"/>
                <w:highlight w:val="none"/>
                <w:lang w:eastAsia="zh-CN"/>
              </w:rPr>
              <w:t>供应商</w:t>
            </w:r>
            <w:r>
              <w:rPr>
                <w:rFonts w:hint="eastAsia" w:ascii="宋体" w:hAnsi="宋体" w:eastAsia="宋体" w:cs="宋体"/>
                <w:bCs/>
                <w:color w:val="auto"/>
                <w:kern w:val="2"/>
                <w:sz w:val="21"/>
                <w:szCs w:val="21"/>
                <w:highlight w:val="none"/>
              </w:rPr>
              <w:t>提供的一切资料和最终完成的技术成果应通过合法途径获得</w:t>
            </w:r>
            <w:r>
              <w:rPr>
                <w:rFonts w:hint="eastAsia" w:ascii="宋体" w:hAnsi="宋体" w:eastAsia="宋体" w:cs="宋体"/>
                <w:bCs/>
                <w:color w:val="auto"/>
                <w:kern w:val="2"/>
                <w:sz w:val="21"/>
                <w:szCs w:val="21"/>
                <w:highlight w:val="none"/>
                <w:lang w:eastAsia="zh-CN"/>
              </w:rPr>
              <w:t>，不涉及知识产权侵权或纠纷。</w:t>
            </w:r>
            <w:r>
              <w:rPr>
                <w:rFonts w:hint="eastAsia" w:ascii="宋体" w:hAnsi="宋体" w:eastAsia="宋体" w:cs="宋体"/>
                <w:color w:val="auto"/>
                <w:kern w:val="2"/>
                <w:sz w:val="21"/>
                <w:szCs w:val="21"/>
                <w:highlight w:val="none"/>
                <w:lang w:val="en-US" w:eastAsia="zh-CN"/>
              </w:rPr>
              <w:t>任何第三方提出侵权指控，由此引起的一切法律责任和费用均由中标供应商承担。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360" w:lineRule="exact"/>
              <w:ind w:right="0"/>
              <w:jc w:val="center"/>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报价要求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uppressLineNumbers w:val="0"/>
              <w:kinsoku/>
              <w:wordWrap/>
              <w:overflowPunct/>
              <w:topLinePunct w:val="0"/>
              <w:bidi w:val="0"/>
              <w:spacing w:before="0" w:beforeAutospacing="0" w:after="0" w:afterAutospacing="0" w:line="360" w:lineRule="exact"/>
              <w:ind w:left="0" w:right="0"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本次报价须为人民币报价，报价应为已经包括了运送到指定地点并完成调试安装、税费、成交服务费、本地化服务、售后服务、培训费、系统接口开发调试、</w:t>
            </w:r>
            <w:r>
              <w:rPr>
                <w:rFonts w:hint="eastAsia" w:ascii="宋体" w:hAnsi="宋体" w:cs="宋体"/>
                <w:bCs/>
                <w:color w:val="auto"/>
                <w:kern w:val="2"/>
                <w:sz w:val="21"/>
                <w:szCs w:val="21"/>
                <w:highlight w:val="none"/>
                <w:lang w:val="en-US" w:eastAsia="zh-CN"/>
              </w:rPr>
              <w:t>本</w:t>
            </w:r>
            <w:r>
              <w:rPr>
                <w:rFonts w:hint="eastAsia" w:ascii="宋体" w:hAnsi="宋体" w:eastAsia="宋体" w:cs="宋体"/>
                <w:bCs/>
                <w:color w:val="auto"/>
                <w:kern w:val="2"/>
                <w:sz w:val="21"/>
                <w:szCs w:val="21"/>
                <w:highlight w:val="none"/>
              </w:rPr>
              <w:t>系统与医院各大业务信息系统之间的接口对接费用等其它完成本项目所涉及的所有费用。</w:t>
            </w:r>
          </w:p>
          <w:p>
            <w:pPr>
              <w:keepNext w:val="0"/>
              <w:keepLines w:val="0"/>
              <w:pageBreakBefore w:val="0"/>
              <w:suppressLineNumbers w:val="0"/>
              <w:kinsoku/>
              <w:wordWrap/>
              <w:overflowPunct/>
              <w:topLinePunct w:val="0"/>
              <w:bidi w:val="0"/>
              <w:spacing w:before="0" w:beforeAutospacing="0" w:after="0" w:afterAutospacing="0" w:line="360" w:lineRule="exact"/>
              <w:ind w:left="0" w:right="0" w:firstLine="420" w:firstLineChars="200"/>
              <w:jc w:val="lef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rPr>
              <w:t>报价均不得高于其预算价，报价高于预算价按响应无效处理。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rPr>
              <w:t>保密要求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应遵守《国家保密法》，严格执行保密制度，不得向第三方泄露其在提供服务期间获得采购人的技术、商业机密，否则须承担因此产生的全部责任。保密条款内容长期有效，不因本合同终止而终止。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exact"/>
              <w:ind w:left="0" w:right="0"/>
              <w:jc w:val="center"/>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rPr>
              <w:t>培训要求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6"/>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应在产品安装调试完毕后30日内，为</w:t>
            </w:r>
            <w:r>
              <w:rPr>
                <w:rFonts w:hint="eastAsia" w:ascii="宋体" w:hAnsi="宋体" w:eastAsia="宋体" w:cs="宋体"/>
                <w:color w:val="auto"/>
                <w:kern w:val="2"/>
                <w:highlight w:val="none"/>
                <w:lang w:val="en-US" w:eastAsia="zh-CN"/>
              </w:rPr>
              <w:t>采购人</w:t>
            </w:r>
            <w:r>
              <w:rPr>
                <w:rFonts w:hint="eastAsia" w:ascii="宋体" w:hAnsi="宋体" w:eastAsia="宋体" w:cs="宋体"/>
                <w:color w:val="auto"/>
                <w:kern w:val="2"/>
                <w:highlight w:val="none"/>
              </w:rPr>
              <w:t>或合同使用方提供关于该产品的操作、维护、保养等方面的培训服务。</w:t>
            </w:r>
          </w:p>
          <w:p>
            <w:pPr>
              <w:keepNext w:val="0"/>
              <w:keepLines w:val="0"/>
              <w:pageBreakBefore w:val="0"/>
              <w:widowControl w:val="0"/>
              <w:numPr>
                <w:ilvl w:val="0"/>
                <w:numId w:val="6"/>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培训内容应包括但不限于产品的基本原理、操作流程、常见故障排除、日常维护方法等，确保本合同使用方的操作人员能够熟练掌握产品的使用和基本维护技能。</w:t>
            </w:r>
          </w:p>
          <w:p>
            <w:pPr>
              <w:keepNext w:val="0"/>
              <w:keepLines w:val="0"/>
              <w:pageBreakBefore w:val="0"/>
              <w:widowControl w:val="0"/>
              <w:numPr>
                <w:ilvl w:val="0"/>
                <w:numId w:val="6"/>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rPr>
              <w:t>培训方式可采用现场培训、集中授课等形式，具体培训时间、地点和方式由双方协商确定。</w:t>
            </w:r>
          </w:p>
          <w:p>
            <w:pPr>
              <w:keepNext w:val="0"/>
              <w:keepLines w:val="0"/>
              <w:pageBreakBefore w:val="0"/>
              <w:widowControl w:val="0"/>
              <w:numPr>
                <w:ilvl w:val="0"/>
                <w:numId w:val="6"/>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rPr>
            </w:pP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应为培训提供必要的培训资料（如操作手册、维护手册等），并保证培训资料的准确性和完整性。</w:t>
            </w:r>
          </w:p>
          <w:p>
            <w:pPr>
              <w:keepNext w:val="0"/>
              <w:keepLines w:val="0"/>
              <w:pageBreakBefore w:val="0"/>
              <w:widowControl w:val="0"/>
              <w:numPr>
                <w:ilvl w:val="0"/>
                <w:numId w:val="0"/>
              </w:numPr>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color w:val="auto"/>
                <w:kern w:val="2"/>
                <w:highlight w:val="none"/>
              </w:rPr>
              <w:t>（5）培训结束后，</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应组织考核，确保本合同使用方操作人员达到预期的培训效果。若考核不合格，</w:t>
            </w:r>
            <w:r>
              <w:rPr>
                <w:rFonts w:hint="eastAsia" w:ascii="宋体" w:hAnsi="宋体" w:eastAsia="宋体" w:cs="宋体"/>
                <w:color w:val="auto"/>
                <w:kern w:val="2"/>
                <w:highlight w:val="none"/>
                <w:lang w:val="en-US" w:eastAsia="zh-CN"/>
              </w:rPr>
              <w:t>中标供应商</w:t>
            </w:r>
            <w:r>
              <w:rPr>
                <w:rFonts w:hint="eastAsia" w:ascii="宋体" w:hAnsi="宋体" w:eastAsia="宋体" w:cs="宋体"/>
                <w:color w:val="auto"/>
                <w:kern w:val="2"/>
                <w:highlight w:val="none"/>
              </w:rPr>
              <w:t>应免费提供再次培训，直至操作人员合格为止。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val="0"/>
                <w:bCs/>
                <w:color w:val="auto"/>
                <w:kern w:val="2"/>
                <w:szCs w:val="24"/>
                <w:highlight w:val="none"/>
                <w:lang w:val="en-US" w:eastAsia="zh-CN"/>
              </w:rPr>
            </w:pPr>
            <w:r>
              <w:rPr>
                <w:rFonts w:hint="eastAsia" w:ascii="宋体" w:hAnsi="宋体" w:eastAsia="宋体" w:cs="宋体"/>
                <w:b w:val="0"/>
                <w:bCs/>
                <w:color w:val="auto"/>
                <w:kern w:val="2"/>
                <w:szCs w:val="24"/>
                <w:highlight w:val="none"/>
                <w:lang w:val="en-US" w:eastAsia="zh-CN"/>
              </w:rPr>
              <w:t>项目实施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宋体" w:hAnsi="宋体" w:eastAsia="宋体" w:cs="宋体"/>
                <w:b w:val="0"/>
                <w:bCs/>
                <w:color w:val="FF0000"/>
                <w:kern w:val="2"/>
                <w:sz w:val="21"/>
                <w:szCs w:val="21"/>
                <w:highlight w:val="none"/>
                <w:lang w:val="en-US" w:eastAsia="zh-CN"/>
              </w:rPr>
            </w:pPr>
            <w:r>
              <w:rPr>
                <w:rFonts w:hint="eastAsia" w:ascii="宋体" w:hAnsi="宋体" w:eastAsia="宋体" w:cs="宋体"/>
                <w:b w:val="0"/>
                <w:bCs/>
                <w:color w:val="auto"/>
                <w:kern w:val="2"/>
                <w:szCs w:val="24"/>
                <w:highlight w:val="none"/>
                <w:lang w:val="en-US" w:eastAsia="zh-CN"/>
              </w:rPr>
              <w:t>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（1）拟投入本项目团队成员有三级甲等医院HRP财务核算系统、全成本核算系统实施项目经验，需提供相关项目参与证明。</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拟任本项目经理须具有三级甲等医院HRP财务核算系统、全成本核算系统项目全过程建设实施经验，熟悉全成本核算项目建设流程，至少主导过2个大型三甲医院完整的项目成本核算、DRG成本核算，对医院全成本核算建设有自己的想法和见解，能够结合其他医院后续实施情况对医院全成本核算项目建设提出指导意见，需提供相关项目参与证明。</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（3）需在广西区内设立公司、分公司、项目部，具备独立承担项目实施及售后服务的能力，常驻广西区域技术人员及专职运维工程师不少于5人。</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w:t>
            </w:r>
            <w:r>
              <w:rPr>
                <w:rFonts w:hint="eastAsia" w:ascii="宋体" w:hAnsi="宋体" w:cs="宋体"/>
                <w:color w:val="auto"/>
                <w:kern w:val="2"/>
                <w:highlight w:val="none"/>
                <w:lang w:val="en-US" w:eastAsia="zh-CN"/>
              </w:rPr>
              <w:t>4</w:t>
            </w:r>
            <w:r>
              <w:rPr>
                <w:rFonts w:hint="eastAsia" w:ascii="宋体" w:hAnsi="宋体" w:eastAsia="宋体" w:cs="宋体"/>
                <w:color w:val="auto"/>
                <w:kern w:val="2"/>
                <w:highlight w:val="none"/>
                <w:lang w:val="en-US" w:eastAsia="zh-CN"/>
              </w:rPr>
              <w:t>）成交人每周提交一次项目周报，每个月至少开一次项目沟通例会。</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w:t>
            </w:r>
            <w:r>
              <w:rPr>
                <w:rFonts w:hint="eastAsia" w:ascii="宋体" w:hAnsi="宋体" w:cs="宋体"/>
                <w:color w:val="auto"/>
                <w:kern w:val="2"/>
                <w:highlight w:val="none"/>
                <w:lang w:val="en-US" w:eastAsia="zh-CN"/>
              </w:rPr>
              <w:t>5</w:t>
            </w:r>
            <w:r>
              <w:rPr>
                <w:rFonts w:hint="eastAsia" w:ascii="宋体" w:hAnsi="宋体" w:eastAsia="宋体" w:cs="宋体"/>
                <w:color w:val="auto"/>
                <w:kern w:val="2"/>
                <w:highlight w:val="none"/>
                <w:lang w:val="en-US" w:eastAsia="zh-CN"/>
              </w:rPr>
              <w:t>）成交人负责系统的安装部署、调试并确保系统能正常运行。</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w:t>
            </w:r>
            <w:r>
              <w:rPr>
                <w:rFonts w:hint="eastAsia" w:ascii="宋体" w:hAnsi="宋体" w:cs="宋体"/>
                <w:color w:val="auto"/>
                <w:kern w:val="2"/>
                <w:highlight w:val="none"/>
                <w:lang w:val="en-US" w:eastAsia="zh-CN"/>
              </w:rPr>
              <w:t>6</w:t>
            </w:r>
            <w:r>
              <w:rPr>
                <w:rFonts w:hint="eastAsia" w:ascii="宋体" w:hAnsi="宋体" w:eastAsia="宋体" w:cs="宋体"/>
                <w:color w:val="auto"/>
                <w:kern w:val="2"/>
                <w:highlight w:val="none"/>
                <w:lang w:val="en-US" w:eastAsia="zh-CN"/>
              </w:rPr>
              <w:t>）系统运行所需的各种环境安装包由成交人提供并负责安装。</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w:t>
            </w:r>
            <w:r>
              <w:rPr>
                <w:rFonts w:hint="eastAsia" w:ascii="宋体" w:hAnsi="宋体" w:cs="宋体"/>
                <w:color w:val="auto"/>
                <w:kern w:val="2"/>
                <w:highlight w:val="none"/>
                <w:lang w:val="en-US" w:eastAsia="zh-CN"/>
              </w:rPr>
              <w:t>7</w:t>
            </w:r>
            <w:r>
              <w:rPr>
                <w:rFonts w:hint="eastAsia" w:ascii="宋体" w:hAnsi="宋体" w:eastAsia="宋体" w:cs="宋体"/>
                <w:color w:val="auto"/>
                <w:kern w:val="2"/>
                <w:highlight w:val="none"/>
                <w:lang w:val="en-US" w:eastAsia="zh-CN"/>
              </w:rPr>
              <w:t>）成交人应负责提供“软件”，并提供安装调试、培训和售后技术支持服务，所提供软件保证满足采购人功能要求，数据准确、速度快捷、运行稳定，保证系统的正常应用。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beforeLines="50" w:line="288" w:lineRule="auto"/>
              <w:ind w:firstLine="0" w:firstLineChars="0"/>
              <w:jc w:val="center"/>
              <w:rPr>
                <w:rFonts w:hint="eastAsia" w:ascii="宋体" w:hAnsi="宋体" w:eastAsia="宋体" w:cs="宋体"/>
                <w:kern w:val="2"/>
                <w:sz w:val="24"/>
                <w:szCs w:val="21"/>
                <w:lang w:val="en-US" w:eastAsia="zh-CN" w:bidi="ar-SA"/>
              </w:rPr>
            </w:pPr>
            <w:r>
              <w:rPr>
                <w:rFonts w:hint="eastAsia" w:ascii="宋体" w:hAnsi="宋体" w:eastAsia="宋体" w:cs="宋体"/>
                <w:color w:val="auto"/>
                <w:kern w:val="2"/>
                <w:highlight w:val="none"/>
                <w:lang w:val="en-US" w:eastAsia="zh-CN"/>
              </w:rPr>
              <w:t>资料要求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spacing w:before="156" w:beforeLines="50" w:line="288" w:lineRule="auto"/>
              <w:ind w:firstLine="0" w:firstLineChars="0"/>
              <w:rPr>
                <w:rFonts w:hint="eastAsia" w:ascii="宋体" w:hAnsi="宋体" w:eastAsia="宋体" w:cs="宋体"/>
                <w:kern w:val="2"/>
                <w:sz w:val="24"/>
                <w:szCs w:val="21"/>
                <w:lang w:val="en-US" w:eastAsia="zh-CN" w:bidi="ar-SA"/>
              </w:rPr>
            </w:pPr>
            <w:r>
              <w:rPr>
                <w:rFonts w:hint="eastAsia" w:ascii="宋体" w:hAnsi="宋体" w:eastAsia="宋体" w:cs="宋体"/>
                <w:color w:val="auto"/>
                <w:kern w:val="2"/>
                <w:highlight w:val="none"/>
                <w:lang w:val="en-US" w:eastAsia="zh-CN"/>
              </w:rPr>
              <w:t>供应商可根据评分标准在响应文件中提供项目实施方案、服务方案、项目人员配置、信誉业绩证明。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其他要求</w:t>
            </w:r>
          </w:p>
        </w:tc>
        <w:tc>
          <w:tcPr>
            <w:tcW w:w="42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w:t>
            </w:r>
            <w:bookmarkStart w:id="30" w:name="_GoBack"/>
            <w:bookmarkEnd w:id="30"/>
            <w:r>
              <w:rPr>
                <w:rFonts w:hint="eastAsia" w:ascii="宋体" w:hAnsi="宋体" w:cs="宋体"/>
                <w:color w:val="auto"/>
                <w:kern w:val="2"/>
                <w:highlight w:val="none"/>
                <w:lang w:val="en-US" w:eastAsia="zh-CN"/>
              </w:rPr>
              <w:t>系统各功能需</w:t>
            </w:r>
            <w:r>
              <w:rPr>
                <w:rFonts w:hint="eastAsia" w:ascii="宋体" w:hAnsi="宋体" w:eastAsia="宋体" w:cs="宋体"/>
                <w:color w:val="auto"/>
                <w:kern w:val="2"/>
                <w:highlight w:val="none"/>
                <w:lang w:val="en-US" w:eastAsia="zh-CN"/>
              </w:rPr>
              <w:t>提供本地化开发服务，所有功能要求以甲方实际需求为准。</w:t>
            </w:r>
          </w:p>
          <w:p>
            <w:pPr>
              <w:keepNext w:val="0"/>
              <w:keepLines w:val="0"/>
              <w:pageBreakBefore w:val="0"/>
              <w:widowControl w:val="0"/>
              <w:suppressLineNumbers w:val="0"/>
              <w:tabs>
                <w:tab w:val="left" w:pos="2914"/>
              </w:tabs>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kern w:val="2"/>
                <w:highlight w:val="none"/>
                <w:lang w:val="en-US" w:eastAsia="zh-CN"/>
              </w:rPr>
              <w:t>（2）投标人所提供的任何材料应当真实有效，如在评审过程中发现投标人在投标文件中提供任何虚假材料的，按投标无效处理，采购人有权汇报监督管理部门处理；中标后，采购人发现投标人在投标文件中提供任何虚假材料的，采购人有权汇报监督管理部门处理，造成损失的中标供应商须依照《中华人民共和国消费者权益保护法》赔偿采购人，民事赔偿并不免除违法中标供应商的法律责任。</w:t>
            </w:r>
          </w:p>
        </w:tc>
      </w:tr>
    </w:tbl>
    <w:p>
      <w:pPr>
        <w:pStyle w:val="6"/>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34B82E"/>
    <w:multiLevelType w:val="singleLevel"/>
    <w:tmpl w:val="E934B82E"/>
    <w:lvl w:ilvl="0" w:tentative="0">
      <w:start w:val="1"/>
      <w:numFmt w:val="decimal"/>
      <w:suff w:val="nothing"/>
      <w:lvlText w:val="（%1）"/>
      <w:lvlJc w:val="left"/>
    </w:lvl>
  </w:abstractNum>
  <w:abstractNum w:abstractNumId="1">
    <w:nsid w:val="2139E92D"/>
    <w:multiLevelType w:val="singleLevel"/>
    <w:tmpl w:val="2139E92D"/>
    <w:lvl w:ilvl="0" w:tentative="0">
      <w:start w:val="1"/>
      <w:numFmt w:val="decimal"/>
      <w:lvlText w:val="%1."/>
      <w:lvlJc w:val="left"/>
      <w:pPr>
        <w:tabs>
          <w:tab w:val="left" w:pos="312"/>
        </w:tabs>
      </w:pPr>
    </w:lvl>
  </w:abstractNum>
  <w:abstractNum w:abstractNumId="2">
    <w:nsid w:val="34D1F7FA"/>
    <w:multiLevelType w:val="multilevel"/>
    <w:tmpl w:val="34D1F7FA"/>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3">
    <w:nsid w:val="35CF04BC"/>
    <w:multiLevelType w:val="singleLevel"/>
    <w:tmpl w:val="35CF04BC"/>
    <w:lvl w:ilvl="0" w:tentative="0">
      <w:start w:val="1"/>
      <w:numFmt w:val="decimal"/>
      <w:lvlText w:val="%1."/>
      <w:lvlJc w:val="left"/>
      <w:pPr>
        <w:ind w:left="425" w:hanging="425"/>
      </w:pPr>
      <w:rPr>
        <w:rFonts w:hint="default"/>
      </w:rPr>
    </w:lvl>
  </w:abstractNum>
  <w:abstractNum w:abstractNumId="4">
    <w:nsid w:val="59560122"/>
    <w:multiLevelType w:val="singleLevel"/>
    <w:tmpl w:val="59560122"/>
    <w:lvl w:ilvl="0" w:tentative="0">
      <w:start w:val="1"/>
      <w:numFmt w:val="decimal"/>
      <w:suff w:val="nothing"/>
      <w:lvlText w:val="（%1）"/>
      <w:lvlJc w:val="left"/>
    </w:lvl>
  </w:abstractNum>
  <w:abstractNum w:abstractNumId="5">
    <w:nsid w:val="685B9E26"/>
    <w:multiLevelType w:val="singleLevel"/>
    <w:tmpl w:val="685B9E26"/>
    <w:lvl w:ilvl="0" w:tentative="0">
      <w:start w:val="1"/>
      <w:numFmt w:val="decimal"/>
      <w:lvlText w:val="%1."/>
      <w:lvlJc w:val="left"/>
      <w:pPr>
        <w:ind w:left="425" w:hanging="425"/>
      </w:pPr>
      <w:rPr>
        <w:rFont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65E85"/>
    <w:rsid w:val="003D0404"/>
    <w:rsid w:val="011C267E"/>
    <w:rsid w:val="01261A8C"/>
    <w:rsid w:val="013E2686"/>
    <w:rsid w:val="01876017"/>
    <w:rsid w:val="01CA5CC8"/>
    <w:rsid w:val="01E8457F"/>
    <w:rsid w:val="020C0D2B"/>
    <w:rsid w:val="02AD1720"/>
    <w:rsid w:val="02B01361"/>
    <w:rsid w:val="02EB05EB"/>
    <w:rsid w:val="039746C8"/>
    <w:rsid w:val="03CB0FAB"/>
    <w:rsid w:val="04754813"/>
    <w:rsid w:val="04C82992"/>
    <w:rsid w:val="05164A16"/>
    <w:rsid w:val="05D23DD0"/>
    <w:rsid w:val="05D60D1E"/>
    <w:rsid w:val="061C0A60"/>
    <w:rsid w:val="06F82FAA"/>
    <w:rsid w:val="077E42B1"/>
    <w:rsid w:val="079B1D7A"/>
    <w:rsid w:val="079D6B75"/>
    <w:rsid w:val="085A4ED7"/>
    <w:rsid w:val="08C01BD2"/>
    <w:rsid w:val="09092DE7"/>
    <w:rsid w:val="0A516F86"/>
    <w:rsid w:val="0AB822A5"/>
    <w:rsid w:val="0AC018B4"/>
    <w:rsid w:val="0B260413"/>
    <w:rsid w:val="0B4700C5"/>
    <w:rsid w:val="0BD06E17"/>
    <w:rsid w:val="0C01678A"/>
    <w:rsid w:val="0C3E3613"/>
    <w:rsid w:val="0C6C50F2"/>
    <w:rsid w:val="0D222E5C"/>
    <w:rsid w:val="0DC83A03"/>
    <w:rsid w:val="0E24503D"/>
    <w:rsid w:val="0E3E7086"/>
    <w:rsid w:val="0E7A447D"/>
    <w:rsid w:val="0EA41FF7"/>
    <w:rsid w:val="0F7D081D"/>
    <w:rsid w:val="101822F4"/>
    <w:rsid w:val="10952D35"/>
    <w:rsid w:val="10B57E5D"/>
    <w:rsid w:val="10C009C2"/>
    <w:rsid w:val="10E6321B"/>
    <w:rsid w:val="11205904"/>
    <w:rsid w:val="11D56724"/>
    <w:rsid w:val="122A24DE"/>
    <w:rsid w:val="12527D3F"/>
    <w:rsid w:val="12AE7632"/>
    <w:rsid w:val="13210FDF"/>
    <w:rsid w:val="13511DA5"/>
    <w:rsid w:val="13BA3DEE"/>
    <w:rsid w:val="13F60B9E"/>
    <w:rsid w:val="141B23B3"/>
    <w:rsid w:val="144638D4"/>
    <w:rsid w:val="14512CCE"/>
    <w:rsid w:val="14665D24"/>
    <w:rsid w:val="14B205E5"/>
    <w:rsid w:val="14BA6606"/>
    <w:rsid w:val="14D04196"/>
    <w:rsid w:val="15353059"/>
    <w:rsid w:val="15477317"/>
    <w:rsid w:val="158C2091"/>
    <w:rsid w:val="15953A3A"/>
    <w:rsid w:val="15DB5888"/>
    <w:rsid w:val="15E92769"/>
    <w:rsid w:val="161F0A58"/>
    <w:rsid w:val="17242AB2"/>
    <w:rsid w:val="17487963"/>
    <w:rsid w:val="17691A0F"/>
    <w:rsid w:val="187C758C"/>
    <w:rsid w:val="18A55AF2"/>
    <w:rsid w:val="18F97167"/>
    <w:rsid w:val="19406B43"/>
    <w:rsid w:val="194D077B"/>
    <w:rsid w:val="196E3622"/>
    <w:rsid w:val="197930F7"/>
    <w:rsid w:val="19882298"/>
    <w:rsid w:val="1A0D2130"/>
    <w:rsid w:val="1A345213"/>
    <w:rsid w:val="1A5A0B6A"/>
    <w:rsid w:val="1A5C3976"/>
    <w:rsid w:val="1A89451A"/>
    <w:rsid w:val="1AAE21D3"/>
    <w:rsid w:val="1ACE63D1"/>
    <w:rsid w:val="1AE207BF"/>
    <w:rsid w:val="1B046FF5"/>
    <w:rsid w:val="1B682381"/>
    <w:rsid w:val="1B765767"/>
    <w:rsid w:val="1BE53B75"/>
    <w:rsid w:val="1C850D11"/>
    <w:rsid w:val="1CD32A5C"/>
    <w:rsid w:val="1CDD6AFB"/>
    <w:rsid w:val="1DDB5112"/>
    <w:rsid w:val="1E18008F"/>
    <w:rsid w:val="1E271C9B"/>
    <w:rsid w:val="1E592455"/>
    <w:rsid w:val="1EC856F2"/>
    <w:rsid w:val="1F127786"/>
    <w:rsid w:val="1F413CC3"/>
    <w:rsid w:val="1FB95FD5"/>
    <w:rsid w:val="1FC61D6D"/>
    <w:rsid w:val="1FF85EB7"/>
    <w:rsid w:val="204F53FE"/>
    <w:rsid w:val="207B2B57"/>
    <w:rsid w:val="2080016D"/>
    <w:rsid w:val="20A57E50"/>
    <w:rsid w:val="21175788"/>
    <w:rsid w:val="213B1240"/>
    <w:rsid w:val="216036CD"/>
    <w:rsid w:val="22503D2A"/>
    <w:rsid w:val="227935A5"/>
    <w:rsid w:val="22840E20"/>
    <w:rsid w:val="228722A1"/>
    <w:rsid w:val="22EF2FD9"/>
    <w:rsid w:val="234B5636"/>
    <w:rsid w:val="23D14D6F"/>
    <w:rsid w:val="23E030EC"/>
    <w:rsid w:val="247275A0"/>
    <w:rsid w:val="24C70119"/>
    <w:rsid w:val="24F874D3"/>
    <w:rsid w:val="255A6347"/>
    <w:rsid w:val="25757B75"/>
    <w:rsid w:val="25D845A8"/>
    <w:rsid w:val="264407CD"/>
    <w:rsid w:val="26462DE1"/>
    <w:rsid w:val="26667FC0"/>
    <w:rsid w:val="26753BA5"/>
    <w:rsid w:val="269D6AE5"/>
    <w:rsid w:val="26F15A73"/>
    <w:rsid w:val="270075A9"/>
    <w:rsid w:val="272950BB"/>
    <w:rsid w:val="27A26C1B"/>
    <w:rsid w:val="27EE6010"/>
    <w:rsid w:val="28292E99"/>
    <w:rsid w:val="28706D19"/>
    <w:rsid w:val="28BE1833"/>
    <w:rsid w:val="28DF1907"/>
    <w:rsid w:val="29EB2DA8"/>
    <w:rsid w:val="29EE0392"/>
    <w:rsid w:val="29F62203"/>
    <w:rsid w:val="2A624627"/>
    <w:rsid w:val="2AC46EA9"/>
    <w:rsid w:val="2AF7102C"/>
    <w:rsid w:val="2B137339"/>
    <w:rsid w:val="2B1971F4"/>
    <w:rsid w:val="2D934A62"/>
    <w:rsid w:val="2DE07CB9"/>
    <w:rsid w:val="2E81349F"/>
    <w:rsid w:val="2E9077CD"/>
    <w:rsid w:val="2EA9088F"/>
    <w:rsid w:val="2EB240E4"/>
    <w:rsid w:val="2F303DF4"/>
    <w:rsid w:val="2FA672B8"/>
    <w:rsid w:val="2FBF5395"/>
    <w:rsid w:val="2FE73D65"/>
    <w:rsid w:val="30B9272A"/>
    <w:rsid w:val="30DF2C8E"/>
    <w:rsid w:val="30FB27F5"/>
    <w:rsid w:val="314F6C62"/>
    <w:rsid w:val="315B151A"/>
    <w:rsid w:val="317A72C0"/>
    <w:rsid w:val="32592E5E"/>
    <w:rsid w:val="32604F7C"/>
    <w:rsid w:val="32827867"/>
    <w:rsid w:val="32DF0D23"/>
    <w:rsid w:val="32F951D7"/>
    <w:rsid w:val="330A0A36"/>
    <w:rsid w:val="33796E78"/>
    <w:rsid w:val="33884F17"/>
    <w:rsid w:val="33D509DC"/>
    <w:rsid w:val="342804A8"/>
    <w:rsid w:val="3578720D"/>
    <w:rsid w:val="359C2EFC"/>
    <w:rsid w:val="35BC0062"/>
    <w:rsid w:val="36414848"/>
    <w:rsid w:val="364847D1"/>
    <w:rsid w:val="37AA3E5F"/>
    <w:rsid w:val="38211DDE"/>
    <w:rsid w:val="382D3122"/>
    <w:rsid w:val="38652BF8"/>
    <w:rsid w:val="386C12AB"/>
    <w:rsid w:val="3933448F"/>
    <w:rsid w:val="3982065B"/>
    <w:rsid w:val="3A7027F9"/>
    <w:rsid w:val="3AA65209"/>
    <w:rsid w:val="3B3B59AF"/>
    <w:rsid w:val="3B5D312D"/>
    <w:rsid w:val="3D424389"/>
    <w:rsid w:val="3D597AFB"/>
    <w:rsid w:val="3D89020A"/>
    <w:rsid w:val="3E0E7BD0"/>
    <w:rsid w:val="3EB4778B"/>
    <w:rsid w:val="3EC84D62"/>
    <w:rsid w:val="3EF23B8C"/>
    <w:rsid w:val="3F12502C"/>
    <w:rsid w:val="3F434828"/>
    <w:rsid w:val="3F8A102A"/>
    <w:rsid w:val="3F982F21"/>
    <w:rsid w:val="3FC413F5"/>
    <w:rsid w:val="3FEB756F"/>
    <w:rsid w:val="40490124"/>
    <w:rsid w:val="40896772"/>
    <w:rsid w:val="40B44F66"/>
    <w:rsid w:val="40BF7A99"/>
    <w:rsid w:val="40F462E2"/>
    <w:rsid w:val="40FE2CBD"/>
    <w:rsid w:val="416845DA"/>
    <w:rsid w:val="41690285"/>
    <w:rsid w:val="416A65A4"/>
    <w:rsid w:val="41CF4659"/>
    <w:rsid w:val="41DA54D8"/>
    <w:rsid w:val="42165DE4"/>
    <w:rsid w:val="42291FBB"/>
    <w:rsid w:val="42AD6AF2"/>
    <w:rsid w:val="42CC685E"/>
    <w:rsid w:val="42F500EF"/>
    <w:rsid w:val="43D877F5"/>
    <w:rsid w:val="448D424B"/>
    <w:rsid w:val="44F00B6E"/>
    <w:rsid w:val="451505D5"/>
    <w:rsid w:val="45412D85"/>
    <w:rsid w:val="45835E86"/>
    <w:rsid w:val="45D33325"/>
    <w:rsid w:val="45F11042"/>
    <w:rsid w:val="461F2361"/>
    <w:rsid w:val="46236D21"/>
    <w:rsid w:val="464078D3"/>
    <w:rsid w:val="46613DA7"/>
    <w:rsid w:val="46771714"/>
    <w:rsid w:val="469E256B"/>
    <w:rsid w:val="470449C0"/>
    <w:rsid w:val="471767DC"/>
    <w:rsid w:val="472C440A"/>
    <w:rsid w:val="47A7207B"/>
    <w:rsid w:val="484713ED"/>
    <w:rsid w:val="484F3DFE"/>
    <w:rsid w:val="48B84099"/>
    <w:rsid w:val="494F49D1"/>
    <w:rsid w:val="49836EB9"/>
    <w:rsid w:val="498A77E3"/>
    <w:rsid w:val="49E05958"/>
    <w:rsid w:val="4AD55B10"/>
    <w:rsid w:val="4B06733D"/>
    <w:rsid w:val="4B86222C"/>
    <w:rsid w:val="4BB86932"/>
    <w:rsid w:val="4BE634D7"/>
    <w:rsid w:val="4BF278C2"/>
    <w:rsid w:val="4C2061DD"/>
    <w:rsid w:val="4C551B00"/>
    <w:rsid w:val="4C5D367E"/>
    <w:rsid w:val="4C8841A1"/>
    <w:rsid w:val="4CB778D7"/>
    <w:rsid w:val="4CCA7D85"/>
    <w:rsid w:val="4CFD207A"/>
    <w:rsid w:val="4F1554A1"/>
    <w:rsid w:val="4F2E0C11"/>
    <w:rsid w:val="512F231E"/>
    <w:rsid w:val="51407E44"/>
    <w:rsid w:val="51B95FB0"/>
    <w:rsid w:val="51F2494D"/>
    <w:rsid w:val="529308D2"/>
    <w:rsid w:val="53043ACF"/>
    <w:rsid w:val="5362532D"/>
    <w:rsid w:val="541C54DC"/>
    <w:rsid w:val="543C3DD0"/>
    <w:rsid w:val="5498007B"/>
    <w:rsid w:val="54A83213"/>
    <w:rsid w:val="55524F2D"/>
    <w:rsid w:val="556F3D31"/>
    <w:rsid w:val="558743BD"/>
    <w:rsid w:val="55A35789"/>
    <w:rsid w:val="55CE2580"/>
    <w:rsid w:val="56310FE7"/>
    <w:rsid w:val="564731EA"/>
    <w:rsid w:val="568E6439"/>
    <w:rsid w:val="569326A3"/>
    <w:rsid w:val="57671164"/>
    <w:rsid w:val="580764A3"/>
    <w:rsid w:val="585804DD"/>
    <w:rsid w:val="58D059A9"/>
    <w:rsid w:val="597162CA"/>
    <w:rsid w:val="597C523D"/>
    <w:rsid w:val="599B3347"/>
    <w:rsid w:val="59D81909"/>
    <w:rsid w:val="59E84950"/>
    <w:rsid w:val="5A113609"/>
    <w:rsid w:val="5A821E11"/>
    <w:rsid w:val="5ADC3C17"/>
    <w:rsid w:val="5B287E82"/>
    <w:rsid w:val="5B2B2230"/>
    <w:rsid w:val="5BBF47BF"/>
    <w:rsid w:val="5BC63F4B"/>
    <w:rsid w:val="5C0462B8"/>
    <w:rsid w:val="5C13779B"/>
    <w:rsid w:val="5C7049C1"/>
    <w:rsid w:val="5CEE7C31"/>
    <w:rsid w:val="5D3D3DCD"/>
    <w:rsid w:val="5D997B9D"/>
    <w:rsid w:val="5DBD4FE2"/>
    <w:rsid w:val="5DC74248"/>
    <w:rsid w:val="5EA0255B"/>
    <w:rsid w:val="5EC12167"/>
    <w:rsid w:val="5EDC4B24"/>
    <w:rsid w:val="5F0059FA"/>
    <w:rsid w:val="5F061262"/>
    <w:rsid w:val="5F606F3E"/>
    <w:rsid w:val="5FB42EB8"/>
    <w:rsid w:val="60635102"/>
    <w:rsid w:val="60A52CFD"/>
    <w:rsid w:val="61677FB2"/>
    <w:rsid w:val="61C84EF5"/>
    <w:rsid w:val="624A590A"/>
    <w:rsid w:val="628C5F22"/>
    <w:rsid w:val="62BD432E"/>
    <w:rsid w:val="62CE21A8"/>
    <w:rsid w:val="62DB0DB4"/>
    <w:rsid w:val="630A5EC8"/>
    <w:rsid w:val="63453357"/>
    <w:rsid w:val="634C7460"/>
    <w:rsid w:val="64556721"/>
    <w:rsid w:val="646E32BD"/>
    <w:rsid w:val="6477675E"/>
    <w:rsid w:val="64D771FD"/>
    <w:rsid w:val="65075D34"/>
    <w:rsid w:val="67B14BC0"/>
    <w:rsid w:val="67BD6B2B"/>
    <w:rsid w:val="68594AF9"/>
    <w:rsid w:val="68C877E1"/>
    <w:rsid w:val="690F3409"/>
    <w:rsid w:val="69D94875"/>
    <w:rsid w:val="69DB3176"/>
    <w:rsid w:val="69F66377"/>
    <w:rsid w:val="69FF1491"/>
    <w:rsid w:val="6A635711"/>
    <w:rsid w:val="6A900218"/>
    <w:rsid w:val="6C172D01"/>
    <w:rsid w:val="6C981A91"/>
    <w:rsid w:val="6C9C08AC"/>
    <w:rsid w:val="6CB3786E"/>
    <w:rsid w:val="6CC60283"/>
    <w:rsid w:val="6CFC39B4"/>
    <w:rsid w:val="6D5E670D"/>
    <w:rsid w:val="6E3A5945"/>
    <w:rsid w:val="6F1A6A3C"/>
    <w:rsid w:val="6F2962A5"/>
    <w:rsid w:val="6FA27068"/>
    <w:rsid w:val="6FA36659"/>
    <w:rsid w:val="6FB1285C"/>
    <w:rsid w:val="6FB51820"/>
    <w:rsid w:val="6FBC77E7"/>
    <w:rsid w:val="712049F7"/>
    <w:rsid w:val="712832BA"/>
    <w:rsid w:val="71AB7A47"/>
    <w:rsid w:val="71B77286"/>
    <w:rsid w:val="71C64881"/>
    <w:rsid w:val="71E81680"/>
    <w:rsid w:val="72090FAD"/>
    <w:rsid w:val="72211D43"/>
    <w:rsid w:val="729A6BBB"/>
    <w:rsid w:val="72AF3FCE"/>
    <w:rsid w:val="72DC155A"/>
    <w:rsid w:val="741A1291"/>
    <w:rsid w:val="74672185"/>
    <w:rsid w:val="74B56EEE"/>
    <w:rsid w:val="74C156D5"/>
    <w:rsid w:val="74D379E1"/>
    <w:rsid w:val="75D03F20"/>
    <w:rsid w:val="75E672A0"/>
    <w:rsid w:val="7610256F"/>
    <w:rsid w:val="768128B7"/>
    <w:rsid w:val="76AE24B4"/>
    <w:rsid w:val="76EC07CC"/>
    <w:rsid w:val="77E96C82"/>
    <w:rsid w:val="782A2EE0"/>
    <w:rsid w:val="78765A8E"/>
    <w:rsid w:val="78811502"/>
    <w:rsid w:val="78CA10FB"/>
    <w:rsid w:val="78D4194A"/>
    <w:rsid w:val="78FE6CAC"/>
    <w:rsid w:val="791F2490"/>
    <w:rsid w:val="794366AD"/>
    <w:rsid w:val="797F1EE5"/>
    <w:rsid w:val="79982FA7"/>
    <w:rsid w:val="799F0443"/>
    <w:rsid w:val="79A65681"/>
    <w:rsid w:val="79C65E85"/>
    <w:rsid w:val="79EB30D7"/>
    <w:rsid w:val="79F3279D"/>
    <w:rsid w:val="7A8E6328"/>
    <w:rsid w:val="7B1B31B9"/>
    <w:rsid w:val="7B2A5F14"/>
    <w:rsid w:val="7C35019A"/>
    <w:rsid w:val="7C417926"/>
    <w:rsid w:val="7C725D31"/>
    <w:rsid w:val="7CE24FA7"/>
    <w:rsid w:val="7D4C156E"/>
    <w:rsid w:val="7D8D7394"/>
    <w:rsid w:val="7D9A60AE"/>
    <w:rsid w:val="7E025C62"/>
    <w:rsid w:val="7E7C2950"/>
    <w:rsid w:val="7E9D7889"/>
    <w:rsid w:val="7F3E3A94"/>
    <w:rsid w:val="7F9073FD"/>
    <w:rsid w:val="7FE01204"/>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keepNext/>
      <w:keepLines/>
      <w:spacing w:before="340" w:after="330" w:line="360" w:lineRule="auto"/>
      <w:outlineLvl w:val="0"/>
    </w:pPr>
    <w:rPr>
      <w:rFonts w:ascii="Times New Roman" w:hAnsi="Times New Roman" w:cs="Times New Roman"/>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宋体"/>
      <w:b/>
      <w:sz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oc 1"/>
    <w:basedOn w:val="1"/>
    <w:next w:val="1"/>
    <w:qFormat/>
    <w:uiPriority w:val="39"/>
    <w:pPr>
      <w:spacing w:before="120" w:after="120"/>
      <w:jc w:val="left"/>
    </w:pPr>
    <w:rPr>
      <w:b/>
      <w:bCs/>
      <w:caps/>
      <w:sz w:val="20"/>
    </w:rPr>
  </w:style>
  <w:style w:type="paragraph" w:styleId="7">
    <w:name w:val="toc 2"/>
    <w:basedOn w:val="1"/>
    <w:next w:val="1"/>
    <w:qFormat/>
    <w:uiPriority w:val="0"/>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styleId="13">
    <w:name w:val="List Paragraph"/>
    <w:basedOn w:val="1"/>
    <w:qFormat/>
    <w:uiPriority w:val="34"/>
    <w:pPr>
      <w:ind w:firstLine="420" w:firstLineChars="200"/>
    </w:p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Words>
  <Characters>160</Characters>
  <Lines>1</Lines>
  <Paragraphs>1</Paragraphs>
  <TotalTime>4</TotalTime>
  <ScaleCrop>false</ScaleCrop>
  <LinksUpToDate>false</LinksUpToDate>
  <CharactersWithSpaces>186</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han</cp:lastModifiedBy>
  <dcterms:modified xsi:type="dcterms:W3CDTF">2026-07-06T03:18:40Z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DEFF47E8A6C2449994301BD8D1602E08_11</vt:lpwstr>
  </property>
  <property fmtid="{D5CDD505-2E9C-101B-9397-08002B2CF9AE}" pid="4" name="KSOTemplateDocerSaveRecord">
    <vt:lpwstr>eyJoZGlkIjoiNWM0ZDJkZjVkNGVjMWM1MjU2ZDUyYjVjMDZmODlkMWUiLCJ1c2VySWQiOiI3MDM1MDE2NDUifQ==</vt:lpwstr>
  </property>
</Properties>
</file>