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widowControl/>
        <w:spacing w:beforeAutospacing="0" w:after="135" w:afterAutospacing="0" w:line="27" w:lineRule="atLeast"/>
        <w:rPr>
          <w:rFonts w:ascii="微软雅黑" w:hAnsi="微软雅黑" w:eastAsia="微软雅黑" w:cs="微软雅黑"/>
          <w:sz w:val="44"/>
          <w:szCs w:val="44"/>
        </w:rPr>
      </w:pPr>
      <w:bookmarkStart w:id="3" w:name="_GoBack"/>
      <w:bookmarkEnd w:id="3"/>
      <w:r>
        <w:rPr>
          <w:rFonts w:ascii="微软雅黑" w:hAnsi="微软雅黑" w:eastAsia="微软雅黑" w:cs="微软雅黑"/>
          <w:sz w:val="44"/>
          <w:szCs w:val="44"/>
        </w:rPr>
        <w:t>附件</w:t>
      </w:r>
      <w:r>
        <w:rPr>
          <w:rFonts w:hint="eastAsia" w:ascii="微软雅黑" w:hAnsi="微软雅黑" w:eastAsia="微软雅黑" w:cs="微软雅黑"/>
          <w:sz w:val="44"/>
          <w:szCs w:val="44"/>
        </w:rPr>
        <w:t>：</w:t>
      </w:r>
    </w:p>
    <w:p>
      <w:pPr>
        <w:tabs>
          <w:tab w:val="left" w:pos="180"/>
          <w:tab w:val="left" w:pos="1620"/>
        </w:tabs>
        <w:spacing w:line="360" w:lineRule="auto"/>
        <w:jc w:val="center"/>
        <w:rPr>
          <w:rFonts w:ascii="宋体" w:hAnsi="宋体" w:eastAsia="宋体" w:cs="宋体"/>
          <w:b/>
          <w:bCs/>
          <w:sz w:val="32"/>
          <w:szCs w:val="32"/>
        </w:rPr>
      </w:pPr>
      <w:bookmarkStart w:id="0" w:name="OLE_LINK2"/>
      <w:bookmarkStart w:id="1" w:name="OLE_LINK1"/>
      <w:r>
        <w:rPr>
          <w:rFonts w:hint="eastAsia" w:ascii="宋体" w:hAnsi="宋体" w:eastAsia="宋体" w:cs="宋体"/>
          <w:b/>
          <w:bCs/>
          <w:sz w:val="32"/>
          <w:szCs w:val="32"/>
        </w:rPr>
        <w:t>采购项目需求一览表</w:t>
      </w:r>
    </w:p>
    <w:bookmarkEnd w:id="0"/>
    <w:bookmarkEnd w:id="1"/>
    <w:tbl>
      <w:tblPr>
        <w:tblStyle w:val="9"/>
        <w:tblW w:w="103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35"/>
        <w:gridCol w:w="1073"/>
        <w:gridCol w:w="652"/>
        <w:gridCol w:w="77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386" w:type="dxa"/>
            <w:gridSpan w:val="4"/>
            <w:tcBorders>
              <w:top w:val="single" w:color="auto" w:sz="4" w:space="0"/>
              <w:left w:val="single" w:color="auto" w:sz="4" w:space="0"/>
              <w:bottom w:val="single" w:color="auto" w:sz="4" w:space="0"/>
              <w:right w:val="single" w:color="auto" w:sz="4" w:space="0"/>
            </w:tcBorders>
          </w:tcPr>
          <w:p>
            <w:pPr>
              <w:tabs>
                <w:tab w:val="left" w:pos="180"/>
                <w:tab w:val="left" w:pos="1620"/>
              </w:tabs>
              <w:spacing w:line="400" w:lineRule="exact"/>
              <w:rPr>
                <w:rFonts w:ascii="宋体" w:hAnsi="宋体" w:eastAsia="宋体" w:cs="宋体"/>
                <w:b/>
                <w:szCs w:val="21"/>
              </w:rPr>
            </w:pPr>
            <w:bookmarkStart w:id="2" w:name="_Hlk59224159"/>
            <w:r>
              <w:rPr>
                <w:rFonts w:hint="eastAsia" w:ascii="宋体" w:hAnsi="宋体" w:eastAsia="宋体" w:cs="宋体"/>
                <w:b/>
                <w:szCs w:val="21"/>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35" w:type="dxa"/>
            <w:tcBorders>
              <w:top w:val="single" w:color="auto" w:sz="4" w:space="0"/>
              <w:left w:val="single" w:color="auto" w:sz="4" w:space="0"/>
              <w:bottom w:val="single" w:color="auto" w:sz="4" w:space="0"/>
              <w:right w:val="single" w:color="auto" w:sz="4" w:space="0"/>
            </w:tcBorders>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序号</w:t>
            </w:r>
          </w:p>
        </w:tc>
        <w:tc>
          <w:tcPr>
            <w:tcW w:w="1073" w:type="dxa"/>
            <w:tcBorders>
              <w:top w:val="single" w:color="auto" w:sz="4" w:space="0"/>
              <w:left w:val="single" w:color="auto" w:sz="4" w:space="0"/>
              <w:bottom w:val="single" w:color="auto" w:sz="4" w:space="0"/>
              <w:right w:val="single" w:color="auto" w:sz="4" w:space="0"/>
            </w:tcBorders>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采购内容</w:t>
            </w:r>
          </w:p>
        </w:tc>
        <w:tc>
          <w:tcPr>
            <w:tcW w:w="652" w:type="dxa"/>
            <w:tcBorders>
              <w:top w:val="single" w:color="auto" w:sz="4" w:space="0"/>
              <w:left w:val="single" w:color="auto" w:sz="4" w:space="0"/>
              <w:bottom w:val="single" w:color="auto" w:sz="4" w:space="0"/>
              <w:right w:val="single" w:color="auto" w:sz="4" w:space="0"/>
            </w:tcBorders>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数量</w:t>
            </w:r>
          </w:p>
        </w:tc>
        <w:tc>
          <w:tcPr>
            <w:tcW w:w="772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35" w:type="dxa"/>
            <w:tcBorders>
              <w:left w:val="single" w:color="auto" w:sz="4" w:space="0"/>
              <w:bottom w:val="single" w:color="auto" w:sz="4" w:space="0"/>
              <w:right w:val="single" w:color="auto" w:sz="4" w:space="0"/>
            </w:tcBorders>
            <w:shd w:val="clear" w:color="auto" w:fill="auto"/>
            <w:vAlign w:val="center"/>
          </w:tcPr>
          <w:p>
            <w:pPr>
              <w:tabs>
                <w:tab w:val="left" w:pos="180"/>
                <w:tab w:val="left" w:pos="1620"/>
              </w:tabs>
              <w:spacing w:line="400" w:lineRule="exact"/>
              <w:jc w:val="center"/>
              <w:rPr>
                <w:rFonts w:ascii="宋体" w:hAnsi="宋体" w:eastAsia="宋体" w:cs="宋体"/>
                <w:szCs w:val="21"/>
              </w:rPr>
            </w:pPr>
            <w:r>
              <w:rPr>
                <w:rFonts w:hint="eastAsia" w:ascii="宋体" w:hAnsi="宋体" w:eastAsia="宋体" w:cs="宋体"/>
                <w:szCs w:val="21"/>
              </w:rPr>
              <w:t>1</w:t>
            </w:r>
          </w:p>
        </w:tc>
        <w:tc>
          <w:tcPr>
            <w:tcW w:w="1073" w:type="dxa"/>
            <w:tcBorders>
              <w:left w:val="single" w:color="auto" w:sz="4" w:space="0"/>
              <w:bottom w:val="single" w:color="auto" w:sz="4" w:space="0"/>
              <w:right w:val="single" w:color="auto" w:sz="4" w:space="0"/>
            </w:tcBorders>
            <w:shd w:val="clear" w:color="auto" w:fill="auto"/>
            <w:vAlign w:val="center"/>
          </w:tcPr>
          <w:p>
            <w:pPr>
              <w:tabs>
                <w:tab w:val="left" w:pos="180"/>
                <w:tab w:val="left" w:pos="1620"/>
              </w:tabs>
              <w:spacing w:line="400" w:lineRule="exact"/>
              <w:jc w:val="center"/>
              <w:rPr>
                <w:rFonts w:ascii="宋体" w:hAnsi="宋体" w:eastAsia="宋体" w:cs="宋体"/>
                <w:szCs w:val="21"/>
              </w:rPr>
            </w:pPr>
            <w:r>
              <w:rPr>
                <w:rFonts w:ascii="宋体" w:hAnsi="宋体" w:eastAsia="宋体" w:cs="宋体"/>
                <w:szCs w:val="21"/>
              </w:rPr>
              <w:t>空调</w:t>
            </w:r>
            <w:r>
              <w:rPr>
                <w:rFonts w:hint="eastAsia" w:ascii="宋体" w:hAnsi="宋体" w:eastAsia="宋体" w:cs="宋体"/>
                <w:szCs w:val="21"/>
              </w:rPr>
              <w:t>设备维保</w:t>
            </w:r>
            <w:r>
              <w:rPr>
                <w:rFonts w:ascii="宋体" w:hAnsi="宋体" w:eastAsia="宋体" w:cs="宋体"/>
                <w:szCs w:val="21"/>
              </w:rPr>
              <w:t>服务</w:t>
            </w:r>
          </w:p>
        </w:tc>
        <w:tc>
          <w:tcPr>
            <w:tcW w:w="652"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180"/>
                <w:tab w:val="left" w:pos="1620"/>
              </w:tabs>
              <w:spacing w:line="400" w:lineRule="exact"/>
              <w:jc w:val="center"/>
              <w:rPr>
                <w:rFonts w:ascii="宋体" w:hAnsi="宋体" w:eastAsia="宋体" w:cs="宋体"/>
                <w:szCs w:val="21"/>
                <w:lang w:bidi="en-US"/>
              </w:rPr>
            </w:pPr>
            <w:r>
              <w:rPr>
                <w:rFonts w:ascii="宋体" w:hAnsi="宋体" w:eastAsia="宋体" w:cs="宋体"/>
                <w:szCs w:val="21"/>
              </w:rPr>
              <w:t>1</w:t>
            </w:r>
            <w:r>
              <w:rPr>
                <w:rFonts w:hint="eastAsia" w:ascii="宋体" w:hAnsi="宋体" w:eastAsia="宋体" w:cs="宋体"/>
                <w:szCs w:val="21"/>
              </w:rPr>
              <w:t>项</w:t>
            </w:r>
          </w:p>
        </w:tc>
        <w:tc>
          <w:tcPr>
            <w:tcW w:w="7726"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1"/>
              </w:num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维保设备规格数量：</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维保设备为全院空调，包过且不限于全院的中央空调、分体空调、供应室空气净化系统、手术室的层流系统、全院空气消毒机等等，大概数量如下：</w:t>
            </w:r>
          </w:p>
          <w:p>
            <w:pPr>
              <w:numPr>
                <w:ilvl w:val="0"/>
                <w:numId w:val="2"/>
              </w:num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水冷离心式冷水机组麦克维尔，数量2台（老年医学中心大楼）；</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2、水冷螺杆式冷水机组，数量：3 台；（约克2台，老年医学中心大楼麦克维尔1台）</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3、风冷模块热泵机组，数量：75台；(约克44台，特灵7台，老年医学中心大楼麦克维尔24台，)</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4、分体式空调机组（美的、格力）：数量：686台；</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5、风机盘管（麦克维尔），数量： 3805台（原有数量：1647台，老年医学中心大楼2158台）</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6、新风机（麦克维尔），数量：33台，原有数量：26台，老年医学中心大楼7台。</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7、老年医学中心大楼吊式空气处理机组（麦克维尔）,数量：34台；</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8、老年医学中心大楼组合空气处理机组（麦克维尔）,数量：2台；</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9、老年医学中心大楼多联式室外机（麦克维尔），数量：25台 ；</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10、老年医学中心大楼变冷媒流量空调室内机（美的、天加、麦克维尔），数量：234台；</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11、老年医学中心大楼精密空调，数量：2台</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12、冷却塔（湖南元亨2台），数量：5 台；（原有数量：2台，老年医学中心大楼数量3台）</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13、水泵，数量：29台；（原有数量：14台，老年医学中心大楼数量15台）</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14、水系统阀门：型号：DN100-DN400；数量：1 项。</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15、空调配电控制系统：1 项</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16、空调水系统水处理：1项</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 xml:space="preserve">17、手术室净化空调：模块机7套，净化机组5台（南京天加） </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18、空气消毒机：81 台</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▲以上设备数量为大概数量，仅供参考运维工作量参考。除中央空调外，其他设备数量如有增减不做费用调整。</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二、维保服务的具体要求：</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 xml:space="preserve">  （一）细则</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 xml:space="preserve">1、供应商需制定针对本项目的月度、季度及年度维修保养方案。供应商在维保期内应保证其维保的空调系统安全可靠、无故障正常运行。（响应时间/交通工具/人员组织/工具设备/备件保障等）。 </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供应商遵守国家相关法规和企业规章制度，按国家现行空调产品的质量标准进行检查、维护保养，提供优质服务、确保质量。维护、保养后须做好维保记录，每日正常巡检、故障抢修须做好记录，并由双方现场人员签证。</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3、供应商须确保维保的设备能全天候满足安全使用。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4、供应商安排专人和专线电话接收采购人的故障通知。</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 xml:space="preserve">5、在维保期内设备运行出现故障，供应商在接到通知后30分钟内到现场进行维修处理；经检查确定空调损坏属于维保服务范围内要更换配件时，供应商只能收取材料费，不再另收服务费。若因故不能即时修复而影响系统正常运作，应书面通知采购人，同时，供应商应做好相应的临时补救措施，并有书面记录存查。 </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供应商要确定不少于5名专业技术人员负责本维保的24小时联络、组织、技术咨询工作。供应商对维保范围内的设备负维修保养责任；在维修保养过程中提供技术服务，按本维修保养具体内容负责对设备进行认真的测试、维护，确保采购人设备安全可靠、无故障运行； 其中配备1名同时持有制冷技师和</w:t>
            </w:r>
            <w:r>
              <w:rPr>
                <w:rFonts w:ascii="宋体" w:hAnsi="宋体" w:eastAsia="宋体" w:cs="宋体"/>
                <w:szCs w:val="21"/>
              </w:rPr>
              <w:t>洁净室工程师</w:t>
            </w:r>
            <w:r>
              <w:rPr>
                <w:rFonts w:hint="eastAsia" w:ascii="宋体" w:hAnsi="宋体" w:eastAsia="宋体" w:cs="宋体"/>
                <w:szCs w:val="21"/>
              </w:rPr>
              <w:t>证的人员作为该项目技术支持 ，每月到采购人院区巡查和回访。</w:t>
            </w:r>
            <w:r>
              <w:rPr>
                <w:rFonts w:ascii="宋体" w:hAnsi="宋体" w:eastAsia="宋体" w:cs="宋体"/>
                <w:szCs w:val="21"/>
              </w:rPr>
              <w:t>（提供维护人员名单、</w:t>
            </w:r>
            <w:r>
              <w:rPr>
                <w:rFonts w:hint="eastAsia" w:ascii="宋体" w:hAnsi="宋体" w:eastAsia="宋体" w:cs="宋体"/>
                <w:szCs w:val="21"/>
              </w:rPr>
              <w:t>证件、连续3个月的社保复印</w:t>
            </w:r>
            <w:r>
              <w:rPr>
                <w:rFonts w:ascii="宋体" w:hAnsi="宋体" w:eastAsia="宋体" w:cs="宋体"/>
                <w:szCs w:val="21"/>
              </w:rPr>
              <w:t>件等证明文件）。</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▲7、供应商应提供现场维修人员的技术人员具备电工作业证或制冷设备维修工证或制冷上岗证，采购人核对后方可上岗。</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8、供应商在响应文件中提供化学水处理施工方案。</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9、空调维保及水处理所用耗材及水处理药剂须符合国家相关标准。</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10、供应商在响应文件中提供主机探伤设备介绍及施工方案。</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11、供应商负责设备维护及故障排除过程中的安全工作，如在维护、抢修过程中发生意外事故及人身伤害事故，一切责任由供应商自行负责，与采购人无关。</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12、供应商通知采购人故障后，如供应商的技术服务人员未按本项目约定时间到达现场并解决故障，影响了采购人的正常医疗秩序或导致其他不良影响，供应商应赔偿因此给采购人造成的直接损失。（损失额从当年服务费中扣除）</w:t>
            </w:r>
          </w:p>
          <w:p>
            <w:pPr>
              <w:tabs>
                <w:tab w:val="left" w:pos="180"/>
                <w:tab w:val="left" w:pos="1620"/>
              </w:tabs>
              <w:spacing w:line="400" w:lineRule="exact"/>
              <w:rPr>
                <w:rFonts w:ascii="宋体" w:hAnsi="宋体" w:eastAsia="宋体" w:cs="宋体"/>
                <w:color w:val="FF0000"/>
                <w:szCs w:val="21"/>
              </w:rPr>
            </w:pPr>
            <w:r>
              <w:rPr>
                <w:rFonts w:hint="eastAsia" w:ascii="宋体" w:hAnsi="宋体" w:eastAsia="宋体" w:cs="宋体"/>
                <w:color w:val="FF0000"/>
                <w:szCs w:val="21"/>
              </w:rPr>
              <w:t>▲13、投标人必须具备完成本项目服务的必要专用工具设备设施，必须有不少于以下设备：红外测温仪1个、钳型万用表1个、测风仪器1个、尘埃粒子计数器1台、微压计1个、声级计1个、绝缘电阻表1个、温湿度计1个、照度计1个、手持测温热像仪1个，并在投标文件中提供区直单位检测机构出具的第三方计量检测报告校准时间不超过12个月的《校准证书》。</w:t>
            </w:r>
          </w:p>
          <w:p>
            <w:pPr>
              <w:widowControl/>
              <w:adjustRightInd w:val="0"/>
              <w:snapToGrid w:val="0"/>
              <w:spacing w:line="360" w:lineRule="exact"/>
              <w:ind w:firstLine="315" w:firstLineChars="150"/>
              <w:jc w:val="left"/>
              <w:rPr>
                <w:rFonts w:ascii="宋体" w:hAnsi="宋体"/>
                <w:bCs/>
                <w:color w:val="FF0000"/>
                <w:szCs w:val="21"/>
              </w:rPr>
            </w:pPr>
            <w:r>
              <w:rPr>
                <w:rFonts w:hint="eastAsia" w:ascii="宋体" w:hAnsi="宋体"/>
                <w:bCs/>
                <w:color w:val="FF0000"/>
                <w:szCs w:val="21"/>
              </w:rPr>
              <w:t>14.维保团队按照维修维护保养要求，规范开展设备维修保养工作。</w:t>
            </w:r>
          </w:p>
          <w:p>
            <w:pPr>
              <w:widowControl/>
              <w:adjustRightInd w:val="0"/>
              <w:snapToGrid w:val="0"/>
              <w:spacing w:line="360" w:lineRule="exact"/>
              <w:ind w:firstLine="315" w:firstLineChars="150"/>
              <w:jc w:val="left"/>
              <w:rPr>
                <w:rFonts w:ascii="宋体" w:hAnsi="宋体"/>
                <w:bCs/>
                <w:color w:val="FF0000"/>
                <w:szCs w:val="21"/>
              </w:rPr>
            </w:pPr>
            <w:r>
              <w:rPr>
                <w:rFonts w:hint="eastAsia" w:ascii="宋体" w:hAnsi="宋体" w:eastAsia="宋体" w:cs="宋体"/>
                <w:color w:val="FF0000"/>
                <w:szCs w:val="21"/>
              </w:rPr>
              <w:t>▲</w:t>
            </w:r>
            <w:r>
              <w:rPr>
                <w:rFonts w:hint="eastAsia" w:ascii="宋体" w:hAnsi="宋体"/>
                <w:bCs/>
                <w:color w:val="FF0000"/>
                <w:szCs w:val="21"/>
              </w:rPr>
              <w:t>15.中标人应每月对维保成员进行安全培训一次，每年度填写应急预案并根据现场情况进行应急演练一次，并提供应急预案管理能力评价认证。</w:t>
            </w:r>
          </w:p>
          <w:p>
            <w:pPr>
              <w:widowControl/>
              <w:adjustRightInd w:val="0"/>
              <w:snapToGrid w:val="0"/>
              <w:spacing w:line="360" w:lineRule="exact"/>
              <w:ind w:firstLine="315" w:firstLineChars="150"/>
              <w:jc w:val="left"/>
              <w:rPr>
                <w:rFonts w:ascii="宋体" w:hAnsi="宋体"/>
                <w:bCs/>
                <w:color w:val="FF0000"/>
                <w:szCs w:val="21"/>
              </w:rPr>
            </w:pPr>
            <w:r>
              <w:rPr>
                <w:rFonts w:hint="eastAsia" w:ascii="宋体" w:hAnsi="宋体" w:eastAsia="宋体" w:cs="宋体"/>
                <w:color w:val="FF0000"/>
                <w:szCs w:val="21"/>
              </w:rPr>
              <w:t>▲</w:t>
            </w:r>
            <w:r>
              <w:rPr>
                <w:rFonts w:hint="eastAsia" w:ascii="宋体" w:hAnsi="宋体"/>
                <w:bCs/>
                <w:color w:val="FF0000"/>
                <w:szCs w:val="21"/>
              </w:rPr>
              <w:t>16.入驻医院的工作人员应穿着统一工作服，佩戴工作牌，必须服从医院管理，按照医院制度执行；遇到相关检查必须配合完成工作；</w:t>
            </w:r>
          </w:p>
          <w:p>
            <w:pPr>
              <w:widowControl/>
              <w:adjustRightInd w:val="0"/>
              <w:snapToGrid w:val="0"/>
              <w:spacing w:line="360" w:lineRule="exact"/>
              <w:ind w:firstLine="315" w:firstLineChars="150"/>
              <w:jc w:val="left"/>
              <w:rPr>
                <w:rFonts w:ascii="宋体" w:hAnsi="宋体"/>
                <w:bCs/>
                <w:color w:val="FF0000"/>
                <w:szCs w:val="21"/>
              </w:rPr>
            </w:pPr>
            <w:r>
              <w:rPr>
                <w:rFonts w:hint="eastAsia" w:ascii="宋体" w:hAnsi="宋体" w:eastAsia="宋体" w:cs="宋体"/>
                <w:color w:val="FF0000"/>
                <w:szCs w:val="21"/>
              </w:rPr>
              <w:t>▲</w:t>
            </w:r>
            <w:r>
              <w:rPr>
                <w:rFonts w:hint="eastAsia" w:ascii="宋体" w:hAnsi="宋体"/>
                <w:bCs/>
                <w:color w:val="FF0000"/>
                <w:szCs w:val="21"/>
              </w:rPr>
              <w:t>17.遇到空调设备出现故障，有可能影响到其它设备或人员安全的，应无条件优先处置故障，排除安全隐患；同时上报招标人负责人。</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（二）维保工作内容：</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1、提供以上设备每年12次月度维护保养、1次年度维护保养工作及全年的故障维修；（压缩机马达维修及换热器爆管进水的大修工作除外；火灾、地震等不可预见灾害引起的维修除外。）</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2、提供冷却水系统的全年水质处理服务。</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详细维保工作如下：</w:t>
            </w:r>
          </w:p>
          <w:p>
            <w:pPr>
              <w:tabs>
                <w:tab w:val="left" w:pos="180"/>
                <w:tab w:val="left" w:pos="1620"/>
              </w:tabs>
              <w:spacing w:line="400" w:lineRule="exact"/>
              <w:rPr>
                <w:rFonts w:ascii="宋体" w:hAnsi="宋体" w:eastAsia="宋体" w:cs="宋体"/>
                <w:b/>
                <w:bCs/>
                <w:szCs w:val="21"/>
              </w:rPr>
            </w:pPr>
            <w:r>
              <w:rPr>
                <w:rFonts w:hint="eastAsia" w:ascii="宋体" w:hAnsi="宋体" w:eastAsia="宋体" w:cs="宋体"/>
                <w:b/>
                <w:bCs/>
                <w:szCs w:val="21"/>
              </w:rPr>
              <w:t>1、水冷离心式冷水机组全年维护保养</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（1）每天：24小时提供设备故障维修服务。</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（2）月度服务工作</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在合同有效期间每 1 个月定期保养一次，具体内容如下：</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 xml:space="preserve">1）压缩机马达                                                                          </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检测及收紧所有之马达电源端子；</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检测马达线圈温度传感器欧姆值；</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提供设备对马达线组之绝缘阻抗测试。</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2）马达起动控制箱</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收紧所有之电源端子；</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检测马达起动器的所有其它装置；</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检测各接触器线路端子；</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对马达起动箱除垢并进行保护处理；</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检测马达接线端子温度；</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检测各接触器接点；</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保护性的处理各接触器接点。</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3）润滑系统</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检测油槽油位是否正常（运转中）；</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检测供油压力是否正常，如不正常则进行调整；</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检测油泵运行电流是否正常；</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检查收紧油泵接线端子；</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检测油温控制传感器。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4）控制及保护电路</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检测及校正低温传感器；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检测及调整高压开关；</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检测及校正高压传感器；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检测冷却水及冰水温度传感器；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检测及调整冷却水及冷冻水流量开关。</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5）冷凝器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检测水及冷媒之温差并调整；</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检测冷媒饱和温度传感器；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检测冷媒饱和压力传感器。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6）蒸发器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检测水及冷媒之温差并调整；</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检测冷媒饱和温度传感器；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检测及校正冷媒蒸发压力。</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7）一般系统检查</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检测不正常之噪音，振动及高温；</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检测及报告机组之温度计及压力表；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运转主机，检查及报告其操作状况。</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（3）年度服务项目</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通常在每年4月和12月各进行1次，具体内容如下：</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1）油路系统</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检查冷冻油油温控制传感器；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检查油泵启动器是否正常；</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手动启停油泵，检查油泵启停是否正常；</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切换油泵自动控制；</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每年更换冷冻油一次；</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每年更换冷冻油过滤器一次。</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2）开机运转测试</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检测马达线圈温度传感器；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检查进气导叶是否正常；</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手动控制导叶观察导叶动作是否准确；</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检查导叶执行器是否正常；</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检测冷媒过滤器温差；</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检测不正常之噪音，振动及高温；</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检测及报告损坏之零件；</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检测及报告其操作状况。</w:t>
            </w:r>
          </w:p>
          <w:p>
            <w:pPr>
              <w:tabs>
                <w:tab w:val="left" w:pos="180"/>
                <w:tab w:val="left" w:pos="1620"/>
              </w:tabs>
              <w:spacing w:line="400" w:lineRule="exact"/>
              <w:rPr>
                <w:rFonts w:ascii="宋体" w:hAnsi="宋体" w:eastAsia="宋体" w:cs="宋体"/>
                <w:b/>
                <w:bCs/>
                <w:szCs w:val="21"/>
              </w:rPr>
            </w:pPr>
            <w:r>
              <w:rPr>
                <w:rFonts w:hint="eastAsia" w:ascii="宋体" w:hAnsi="宋体" w:eastAsia="宋体" w:cs="宋体"/>
                <w:b/>
                <w:bCs/>
                <w:szCs w:val="21"/>
              </w:rPr>
              <w:t>2、螺杆式冷水空调机组全年维护保养</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（1）每天：24小时提供设备故障维修服务。</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（2）月度服务工作</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在合同有效期间每 1 个月定期保养一次，具体内容如下：</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 xml:space="preserve">1）压缩机马达                                                                          </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检测及收紧所有之马达电源端子；</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检测马达线圈温度传感器欧姆值；</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提供设备对马达线组之绝缘阻抗测试。</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2）马达起动控制箱</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收紧所有之电源端子；</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检测马达起动器的所有其它装置；</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检测各接触器线路端子；</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对马达起动箱除垢并进行保护处理；</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检测马达接线端子温度；</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检测各接触器接点；</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保护性的处理各接触器接点。</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3）润滑系统</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检测油槽油位是否正常（运转中）；</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检测油温控制传感器。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4）控制及保护电路</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检测及校正低温传感器；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检测及调整高压开关；</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检测及校正高压传感器；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检测冷却水及冰水温度传感器；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检测及调整冷却水及冷冻水流量开关。</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5）冷凝器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检测水及冷媒之温差并调整；</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检测冷媒饱和温度传感器；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检测冷媒饱和压力传感器。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6）蒸发器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检测水及冷媒之温差并调整；</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检测冷媒饱和温度传感器；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检测及校正冷媒蒸发压力。</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7）一般系统检查</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检测不正常之噪音，振动及高温；</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检测及报告机组之温度计及压力表；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运转主机，检查及报告其操作状况。</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（3）年度服务项目</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通常在每年4月和12月各进行1次，具体内容如下：</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1）油路系统</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检查冷冻油油温控制传感器；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每年更换冷冻油一次；</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每年更换冷冻油过滤器一次。</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2）控制及保护电路</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检测及校正低温传感器；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检测及调整高压开关；</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检测及校正高压传感器（选择配备）；</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检测冷却水及冰水温度传感器；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检测及调整冷却水及冷冻水流量开关；</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校正及调整主机设定参数。</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3）开机运转测试</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检测马达线圈温度传感器；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检测SLIDE VALVE 之功能；</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检测冷媒过滤器温差；</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检测不正常之噪音，振动及高温；</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检测及报告损坏之零件；</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检测及报告其操作状况。</w:t>
            </w:r>
          </w:p>
          <w:p>
            <w:pPr>
              <w:tabs>
                <w:tab w:val="left" w:pos="180"/>
                <w:tab w:val="left" w:pos="1620"/>
              </w:tabs>
              <w:spacing w:line="400" w:lineRule="exact"/>
              <w:rPr>
                <w:rFonts w:ascii="宋体" w:hAnsi="宋体" w:eastAsia="宋体" w:cs="宋体"/>
                <w:b/>
                <w:bCs/>
                <w:szCs w:val="21"/>
              </w:rPr>
            </w:pPr>
            <w:r>
              <w:rPr>
                <w:rFonts w:hint="eastAsia" w:ascii="宋体" w:hAnsi="宋体" w:eastAsia="宋体" w:cs="宋体"/>
                <w:b/>
                <w:bCs/>
                <w:szCs w:val="21"/>
              </w:rPr>
              <w:t>3、风冷模块式机组全年维护保养</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（1）每天：24小时提供设备故障维修服务。</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（2）月度服务工作</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每 1 个月定期保养一次，具体内容如下：</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 检查机组外观有否明显损坏迹象，如有则应立即处理；</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 检查主电源有否缺相，电压是否符合机组要求；</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 水泵等辅助设备是否正常运行，是否满足机组正常运行的条件；</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 检查机组是否处于安全运行的状况；</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 检查紧固主电路及控制电路的端子螺丝，使之安全可靠；</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 检查油位是否正常，是否需补充冷冻油或按需要更换冷冻油；</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 按需要更换干燥过滤器；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8） 检查热交换效果；</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9） 检查控制电路的正确性；</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10）检查各显示参数设置的正确性；</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11）检查各种安全保护装置的可靠性；</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12）检测油加热器是否工作正常，并将油温升至正常；</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13）测量电机绝缘，确保电机在正常的绝缘度，检查机组接地电阻；</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14）检查机组有否泄漏，雪种量是否足够，修复漏点及补充雪种；</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15）检测散热风机的转向（对风冷及热泵机组）；</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16）检测冷凝器外表及其散热效果。（对风冷及热泵机组）；</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17）启动主机，抄记运行参数，调整主机至正常运行；</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18）提交主机启动报告。</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w:t>
            </w:r>
            <w:r>
              <w:rPr>
                <w:rFonts w:ascii="宋体" w:hAnsi="宋体" w:eastAsia="宋体" w:cs="宋体"/>
                <w:szCs w:val="21"/>
              </w:rPr>
              <w:t>9</w:t>
            </w:r>
            <w:r>
              <w:rPr>
                <w:rFonts w:hint="eastAsia" w:ascii="宋体" w:hAnsi="宋体" w:eastAsia="宋体" w:cs="宋体"/>
                <w:szCs w:val="21"/>
              </w:rPr>
              <w:t>） 提交工作报告。</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 机组停机时间年度的检查工作：</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1)对主机进行一次全面的检漏工作</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2)清洁、检查电气控制系统，紧固各端子螺丝；</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3)拆下接触器触头检查清洁，如有损坏进行维修或更换；</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4)检查油加热器工作是否正常，压缩机油量是否足够，必要时更换冷冻油；</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5)检查制冷系统，必要时更换干燥过滤器；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6)对机组及各辅助设备全面检查一次，确保下次开机时，设备能正常运行；</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7)提交工作报告。</w:t>
            </w:r>
          </w:p>
          <w:p>
            <w:pPr>
              <w:tabs>
                <w:tab w:val="left" w:pos="180"/>
                <w:tab w:val="left" w:pos="1620"/>
              </w:tabs>
              <w:spacing w:line="400" w:lineRule="exact"/>
              <w:rPr>
                <w:rFonts w:ascii="宋体" w:hAnsi="宋体" w:eastAsia="宋体" w:cs="宋体"/>
                <w:b/>
                <w:bCs/>
                <w:szCs w:val="21"/>
              </w:rPr>
            </w:pPr>
            <w:r>
              <w:rPr>
                <w:rFonts w:hint="eastAsia" w:ascii="宋体" w:hAnsi="宋体" w:eastAsia="宋体" w:cs="宋体"/>
                <w:b/>
                <w:bCs/>
                <w:szCs w:val="21"/>
              </w:rPr>
              <w:t>4、分体式空调全年维护保养内容</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（1）每天：24小时提供设备故障维修服务。</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（2）每半年定期对设备内外机进行一次保养检查，具体内容如下：</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1)开机前，对内机滤网统一进行一次清洗消毒；</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2)开机检查每台机组的运行状态，确保设备正常运行。</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3)检查机组外观有否明显损坏迹象，如有则应维修恢复；</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4)检查热交换效果；根据需要进行外机冷凝器清洗；</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5)检测内外机风机的转速正常，无抖动和异响；</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6)检查设备排水状态正常，无冷凝水无滴漏情况</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7)检查外机机架是否牢固可靠。</w:t>
            </w:r>
          </w:p>
          <w:p>
            <w:pPr>
              <w:tabs>
                <w:tab w:val="left" w:pos="180"/>
                <w:tab w:val="left" w:pos="1620"/>
              </w:tabs>
              <w:spacing w:line="400" w:lineRule="exact"/>
              <w:rPr>
                <w:rFonts w:ascii="宋体" w:hAnsi="宋体" w:eastAsia="宋体" w:cs="宋体"/>
                <w:b/>
                <w:bCs/>
                <w:szCs w:val="21"/>
              </w:rPr>
            </w:pPr>
            <w:r>
              <w:rPr>
                <w:rFonts w:hint="eastAsia" w:ascii="宋体" w:hAnsi="宋体" w:eastAsia="宋体" w:cs="宋体"/>
                <w:b/>
                <w:bCs/>
                <w:szCs w:val="21"/>
              </w:rPr>
              <w:t>5、风机盘管预防性保养程序</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（1）制冷和制热季节使用前准备和检查</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1）检查运行状态是否正常</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2）对回风滤网进行清洗及杀菌消毒</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3）紧固所有固定螺丝、钉；</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4）检查排水管路，并确认畅通，接水盘无积水；</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5）检查室内温控器及风机的三档风速状态正常；</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6）检查运行噪音及振动情况，有异常及时处理</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7）根据需要更换或维修有关坏损件。</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（2）运行季节检查 （每两月一次）</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1）检查室内温控及风机的三档风速；</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2）检查运行噪音及振动情况；</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3）根据需要更换或维修有关坏损件；</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4）每四个月定期清洗滤网。</w:t>
            </w:r>
          </w:p>
          <w:p>
            <w:pPr>
              <w:tabs>
                <w:tab w:val="left" w:pos="180"/>
                <w:tab w:val="left" w:pos="1620"/>
              </w:tabs>
              <w:spacing w:line="400" w:lineRule="exact"/>
              <w:rPr>
                <w:rFonts w:ascii="宋体" w:hAnsi="宋体" w:eastAsia="宋体" w:cs="宋体"/>
                <w:b/>
                <w:bCs/>
                <w:szCs w:val="21"/>
              </w:rPr>
            </w:pPr>
            <w:r>
              <w:rPr>
                <w:rFonts w:hint="eastAsia" w:ascii="宋体" w:hAnsi="宋体" w:eastAsia="宋体" w:cs="宋体"/>
                <w:b/>
                <w:bCs/>
                <w:szCs w:val="21"/>
              </w:rPr>
              <w:t>6、风柜预防性保养程序</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（1）每年3月份运行季节启动前准备和检查</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1）对回风滤网进行清洗及杀菌消毒</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2）检查箱体的气密性及水路的密闭性；</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3）检查排水管路并确认畅通；</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4）检查风机马达的电流和电压，确认符合要求范围；</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5）检查及确认电气控制装置性能良好；</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6）检查和调整弹簧减振器，紧固马达及风机的紧固螺丝；</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7）根据需要更换或维修有关坏损部件。</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（2）运行季节巡检（每月一次）</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1）检查确认电气控制部分功能良好；</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2）检查马达电压及运行电流，确认符合要求；</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3）根据需要检查风机皮带和皮带轮，必要时更换；</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4）每四个月对滤网进行一次清洗</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5）检查风柜运行时的噪音及振动情况，必要时进行检修；</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（3）每年12月份设备停机检查和预防性工作</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1）检查和调整弹簧减振器，紧固马达及风机的紧固螺丝；</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2）修整风机出口软接；</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3）检查皮带、皮带轮磨损情况，根据需要更换。调整皮带张力及皮带轮同心度；</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4）检查及润滑风机及马达的轴承；</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5）检测马达缘并记录；</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6）电气控制装置检测及维护保养工作；</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7）检查箱体的气密性及水路的密闭性。</w:t>
            </w:r>
          </w:p>
          <w:p>
            <w:pPr>
              <w:tabs>
                <w:tab w:val="left" w:pos="180"/>
                <w:tab w:val="left" w:pos="1620"/>
              </w:tabs>
              <w:spacing w:line="400" w:lineRule="exact"/>
              <w:rPr>
                <w:rFonts w:ascii="宋体" w:hAnsi="宋体" w:eastAsia="宋体" w:cs="宋体"/>
                <w:b/>
                <w:bCs/>
                <w:szCs w:val="21"/>
              </w:rPr>
            </w:pPr>
            <w:r>
              <w:rPr>
                <w:rFonts w:hint="eastAsia" w:ascii="宋体" w:hAnsi="宋体" w:eastAsia="宋体" w:cs="宋体"/>
                <w:b/>
                <w:bCs/>
                <w:szCs w:val="21"/>
              </w:rPr>
              <w:t>7、多联式中央空调机组维护保养</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（1）每天：24小时提供设备故障维修服务。</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（2）制冷和制热季节使用前准备和检查</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1）检查蒸发器；</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2）检查并测量温度传感器阻值是否正常；</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3）检查排水泵运转和排水是否正常；</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4）检查冷凝排水系统是否正常；</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5）检查并紧固接线端子；</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6）测量供电电源是否正常；</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7）测量空调送风量是否符合标准；</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8）测量设备绝缘是否良好；</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9）检查并紧固设备固定螺丝及支架；</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10）检查回风温度传感器是否良好；</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11）检查蒸发盘管温度传感器是否良好；</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12）每四个月定期清洗滤网。</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（3）室内机年度维护保养工作内容（每年12月-1月）</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1）检测电脑版各项输入输出是否正常；</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2）检查电子膨胀阀执行动作是否正常；</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3）检查电机轴承、电机绝缘阻值、风机扇叶动平衡；</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4）测量设备绝缘是否良好；</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5）测量空调送风温度是否符合标准；</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6）检查保温是否完好并修复；</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7）检查室内机与室外机通信是否良好；</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8）检查室内机设定参数是否正常；</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9）提交年度保养报告。</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(4)室外机季度维护保养工作内容</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月度服务工作</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1）检测压缩机绝缘电阻，检测压缩机电流，检测压缩机冷却，检测压缩器排气温度；</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2）检测系统排气压力，检测系统吸气压力，检查系统有无漏点，3）检测压缩机绝缘电阻，检测压缩机电流，</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3）检查四通换向阀是否串气，检查四通阀线圈是否正常；</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4）检查过滤器是否有阻塞；</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5）检查储液罐是否良好</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6）检测高压保护开关动作是否正常，校正高压保护开关点是否正确</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7）检测低压保护开关动作是否正常，校正低压保护开关点是否正确</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8）检查排气温度传感器是否正常，检查排气压力传感器是否正常，检查吸气压力传感器是否正常，检查环境温度传感器是否正常，检查盘管温度传感器是否正常</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9）检查电机电流，检查电机电源，检查电机轴承是否良好；</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10）检查供电电缆是否正常，检查并紧固接线端子，检测供电电源电压是否正常</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11） 检查冷媒管保温是否完好，检查冷媒管是否有漏点</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12）检查设备固定装置是否完好，紧固松动的螺丝及部件</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13）提交月度工作报告。</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（5）室外机年度维护保养工作内容（每年12月-1月）</w:t>
            </w:r>
          </w:p>
          <w:p>
            <w:pPr>
              <w:numPr>
                <w:ilvl w:val="0"/>
                <w:numId w:val="3"/>
              </w:numPr>
              <w:tabs>
                <w:tab w:val="left" w:pos="180"/>
                <w:tab w:val="left" w:pos="1620"/>
              </w:tabs>
              <w:spacing w:line="400" w:lineRule="exact"/>
              <w:ind w:firstLine="218" w:firstLineChars="104"/>
              <w:rPr>
                <w:rFonts w:ascii="宋体" w:hAnsi="宋体" w:eastAsia="宋体" w:cs="宋体"/>
                <w:szCs w:val="21"/>
              </w:rPr>
            </w:pPr>
            <w:r>
              <w:rPr>
                <w:rFonts w:hint="eastAsia" w:ascii="宋体" w:hAnsi="宋体" w:eastAsia="宋体" w:cs="宋体"/>
                <w:szCs w:val="21"/>
              </w:rPr>
              <w:t>检查冷凝器是否散热良好，检查冷凝器翅片是否有脏堵，药剂清洗冷凝器翅片除尘、除垢；</w:t>
            </w:r>
          </w:p>
          <w:p>
            <w:pPr>
              <w:numPr>
                <w:ilvl w:val="0"/>
                <w:numId w:val="4"/>
              </w:numPr>
              <w:tabs>
                <w:tab w:val="left" w:pos="180"/>
                <w:tab w:val="left" w:pos="1620"/>
              </w:tabs>
              <w:spacing w:line="400" w:lineRule="exact"/>
              <w:ind w:firstLine="218" w:firstLineChars="104"/>
              <w:rPr>
                <w:rFonts w:ascii="宋体" w:hAnsi="宋体" w:eastAsia="宋体" w:cs="宋体"/>
                <w:szCs w:val="21"/>
              </w:rPr>
            </w:pPr>
            <w:r>
              <w:rPr>
                <w:rFonts w:hint="eastAsia" w:ascii="宋体" w:hAnsi="宋体" w:eastAsia="宋体" w:cs="宋体"/>
                <w:szCs w:val="21"/>
              </w:rPr>
              <w:t>检查风机扇叶是否良好，检查风机动平衡是否正常；</w:t>
            </w:r>
          </w:p>
          <w:p>
            <w:pPr>
              <w:numPr>
                <w:ilvl w:val="0"/>
                <w:numId w:val="4"/>
              </w:numPr>
              <w:tabs>
                <w:tab w:val="left" w:pos="180"/>
                <w:tab w:val="left" w:pos="1620"/>
              </w:tabs>
              <w:spacing w:line="400" w:lineRule="exact"/>
              <w:ind w:firstLine="218" w:firstLineChars="104"/>
              <w:rPr>
                <w:rFonts w:ascii="宋体" w:hAnsi="宋体" w:eastAsia="宋体" w:cs="宋体"/>
                <w:szCs w:val="21"/>
              </w:rPr>
            </w:pPr>
            <w:r>
              <w:rPr>
                <w:rFonts w:hint="eastAsia" w:ascii="宋体" w:hAnsi="宋体" w:eastAsia="宋体" w:cs="宋体"/>
                <w:szCs w:val="21"/>
              </w:rPr>
              <w:t>检查电脑主板供电电源是否正常，电脑版输入输出是否正常，电脑版除尘处理；</w:t>
            </w:r>
          </w:p>
          <w:p>
            <w:pPr>
              <w:numPr>
                <w:ilvl w:val="0"/>
                <w:numId w:val="4"/>
              </w:numPr>
              <w:tabs>
                <w:tab w:val="left" w:pos="180"/>
                <w:tab w:val="left" w:pos="1620"/>
              </w:tabs>
              <w:spacing w:line="400" w:lineRule="exact"/>
              <w:ind w:firstLine="218" w:firstLineChars="104"/>
              <w:rPr>
                <w:rFonts w:ascii="宋体" w:hAnsi="宋体" w:eastAsia="宋体" w:cs="宋体"/>
                <w:szCs w:val="21"/>
              </w:rPr>
            </w:pPr>
            <w:r>
              <w:rPr>
                <w:rFonts w:hint="eastAsia" w:ascii="宋体" w:hAnsi="宋体" w:eastAsia="宋体" w:cs="宋体"/>
                <w:szCs w:val="21"/>
              </w:rPr>
              <w:t>检查四通换向阀制冷制热切换是否正常；</w:t>
            </w:r>
          </w:p>
          <w:p>
            <w:pPr>
              <w:numPr>
                <w:ilvl w:val="0"/>
                <w:numId w:val="4"/>
              </w:numPr>
              <w:tabs>
                <w:tab w:val="left" w:pos="180"/>
                <w:tab w:val="left" w:pos="1620"/>
              </w:tabs>
              <w:spacing w:line="400" w:lineRule="exact"/>
              <w:ind w:firstLine="218" w:firstLineChars="104"/>
              <w:rPr>
                <w:rFonts w:ascii="宋体" w:hAnsi="宋体" w:eastAsia="宋体" w:cs="宋体"/>
                <w:szCs w:val="21"/>
              </w:rPr>
            </w:pPr>
            <w:r>
              <w:rPr>
                <w:rFonts w:hint="eastAsia" w:ascii="宋体" w:hAnsi="宋体" w:eastAsia="宋体" w:cs="宋体"/>
                <w:szCs w:val="21"/>
              </w:rPr>
              <w:t>检测压缩机冷却，检测压缩机冷冻油是否充足；</w:t>
            </w:r>
          </w:p>
          <w:p>
            <w:pPr>
              <w:numPr>
                <w:ilvl w:val="0"/>
                <w:numId w:val="4"/>
              </w:numPr>
              <w:tabs>
                <w:tab w:val="left" w:pos="180"/>
                <w:tab w:val="left" w:pos="1620"/>
              </w:tabs>
              <w:spacing w:line="400" w:lineRule="exact"/>
              <w:ind w:firstLine="218" w:firstLineChars="104"/>
              <w:rPr>
                <w:rFonts w:ascii="宋体" w:hAnsi="宋体" w:eastAsia="宋体" w:cs="宋体"/>
                <w:szCs w:val="21"/>
              </w:rPr>
            </w:pPr>
            <w:r>
              <w:rPr>
                <w:rFonts w:hint="eastAsia" w:ascii="宋体" w:hAnsi="宋体" w:eastAsia="宋体" w:cs="宋体"/>
                <w:szCs w:val="21"/>
              </w:rPr>
              <w:t>检测系统冷媒量是否充足，进行全面捡漏确保系统无漏点；</w:t>
            </w:r>
          </w:p>
          <w:p>
            <w:pPr>
              <w:numPr>
                <w:ilvl w:val="0"/>
                <w:numId w:val="4"/>
              </w:numPr>
              <w:tabs>
                <w:tab w:val="left" w:pos="180"/>
                <w:tab w:val="left" w:pos="1620"/>
              </w:tabs>
              <w:spacing w:line="400" w:lineRule="exact"/>
              <w:ind w:firstLine="218" w:firstLineChars="104"/>
              <w:rPr>
                <w:rFonts w:ascii="宋体" w:hAnsi="宋体" w:eastAsia="宋体" w:cs="宋体"/>
                <w:szCs w:val="21"/>
              </w:rPr>
            </w:pPr>
            <w:r>
              <w:rPr>
                <w:rFonts w:hint="eastAsia" w:ascii="宋体" w:hAnsi="宋体" w:eastAsia="宋体" w:cs="宋体"/>
                <w:szCs w:val="21"/>
              </w:rPr>
              <w:t>检查电子膨胀阀节流调节是否正常，检测电子膨胀阀线圈工作是否正常；</w:t>
            </w:r>
          </w:p>
          <w:p>
            <w:pPr>
              <w:numPr>
                <w:ilvl w:val="0"/>
                <w:numId w:val="4"/>
              </w:numPr>
              <w:tabs>
                <w:tab w:val="left" w:pos="180"/>
                <w:tab w:val="left" w:pos="1620"/>
              </w:tabs>
              <w:spacing w:line="400" w:lineRule="exact"/>
              <w:ind w:firstLine="218" w:firstLineChars="104"/>
              <w:rPr>
                <w:rFonts w:ascii="宋体" w:hAnsi="宋体" w:eastAsia="宋体" w:cs="宋体"/>
                <w:szCs w:val="21"/>
              </w:rPr>
            </w:pPr>
            <w:r>
              <w:rPr>
                <w:rFonts w:hint="eastAsia" w:ascii="宋体" w:hAnsi="宋体" w:eastAsia="宋体" w:cs="宋体"/>
                <w:szCs w:val="21"/>
              </w:rPr>
              <w:t>检查单向阀工作是否正常；</w:t>
            </w:r>
          </w:p>
          <w:p>
            <w:pPr>
              <w:numPr>
                <w:ilvl w:val="0"/>
                <w:numId w:val="4"/>
              </w:numPr>
              <w:tabs>
                <w:tab w:val="left" w:pos="180"/>
                <w:tab w:val="left" w:pos="1620"/>
              </w:tabs>
              <w:spacing w:line="400" w:lineRule="exact"/>
              <w:ind w:firstLine="218" w:firstLineChars="104"/>
              <w:rPr>
                <w:rFonts w:ascii="宋体" w:hAnsi="宋体" w:eastAsia="宋体" w:cs="宋体"/>
                <w:szCs w:val="21"/>
              </w:rPr>
            </w:pPr>
            <w:r>
              <w:rPr>
                <w:rFonts w:hint="eastAsia" w:ascii="宋体" w:hAnsi="宋体" w:eastAsia="宋体" w:cs="宋体"/>
                <w:szCs w:val="21"/>
              </w:rPr>
              <w:t>检测变频板是否工作正常，检查变频器散热风机工作是否正常；</w:t>
            </w:r>
          </w:p>
          <w:p>
            <w:pPr>
              <w:numPr>
                <w:ilvl w:val="0"/>
                <w:numId w:val="4"/>
              </w:numPr>
              <w:tabs>
                <w:tab w:val="left" w:pos="180"/>
                <w:tab w:val="left" w:pos="1620"/>
              </w:tabs>
              <w:spacing w:line="400" w:lineRule="exact"/>
              <w:ind w:firstLine="218" w:firstLineChars="104"/>
              <w:rPr>
                <w:rFonts w:ascii="宋体" w:hAnsi="宋体" w:eastAsia="宋体" w:cs="宋体"/>
                <w:szCs w:val="21"/>
              </w:rPr>
            </w:pPr>
            <w:r>
              <w:rPr>
                <w:rFonts w:hint="eastAsia" w:ascii="宋体" w:hAnsi="宋体" w:eastAsia="宋体" w:cs="宋体"/>
                <w:szCs w:val="21"/>
              </w:rPr>
              <w:t>检测整流电路是否工作正常，检测变频模块工作是否正常；</w:t>
            </w:r>
          </w:p>
          <w:p>
            <w:pPr>
              <w:numPr>
                <w:ilvl w:val="0"/>
                <w:numId w:val="4"/>
              </w:numPr>
              <w:tabs>
                <w:tab w:val="left" w:pos="180"/>
                <w:tab w:val="left" w:pos="1620"/>
              </w:tabs>
              <w:spacing w:line="400" w:lineRule="exact"/>
              <w:ind w:firstLine="218" w:firstLineChars="104"/>
              <w:rPr>
                <w:rFonts w:ascii="宋体" w:hAnsi="宋体" w:eastAsia="宋体" w:cs="宋体"/>
                <w:szCs w:val="21"/>
              </w:rPr>
            </w:pPr>
            <w:r>
              <w:rPr>
                <w:rFonts w:hint="eastAsia" w:ascii="宋体" w:hAnsi="宋体" w:eastAsia="宋体" w:cs="宋体"/>
                <w:szCs w:val="21"/>
              </w:rPr>
              <w:t>提交年度保养报告。</w:t>
            </w:r>
          </w:p>
          <w:p>
            <w:pPr>
              <w:tabs>
                <w:tab w:val="left" w:pos="180"/>
                <w:tab w:val="left" w:pos="1620"/>
              </w:tabs>
              <w:spacing w:line="400" w:lineRule="exact"/>
              <w:rPr>
                <w:rFonts w:ascii="宋体" w:hAnsi="宋体" w:eastAsia="宋体" w:cs="宋体"/>
                <w:b/>
                <w:bCs/>
                <w:szCs w:val="21"/>
              </w:rPr>
            </w:pPr>
            <w:r>
              <w:rPr>
                <w:rFonts w:hint="eastAsia" w:ascii="宋体" w:hAnsi="宋体" w:eastAsia="宋体" w:cs="宋体"/>
                <w:b/>
                <w:bCs/>
                <w:szCs w:val="21"/>
              </w:rPr>
              <w:t>8、精密空调机组维护保养</w:t>
            </w:r>
          </w:p>
          <w:p>
            <w:pPr>
              <w:tabs>
                <w:tab w:val="left" w:pos="180"/>
                <w:tab w:val="left" w:pos="1620"/>
              </w:tabs>
              <w:spacing w:line="400" w:lineRule="exact"/>
              <w:rPr>
                <w:rFonts w:ascii="宋体" w:hAnsi="宋体" w:eastAsia="宋体" w:cs="宋体"/>
                <w:b/>
                <w:bCs/>
                <w:szCs w:val="21"/>
              </w:rPr>
            </w:pPr>
            <w:r>
              <w:rPr>
                <w:rFonts w:hint="eastAsia" w:ascii="宋体" w:hAnsi="宋体" w:eastAsia="宋体" w:cs="宋体"/>
                <w:szCs w:val="21"/>
              </w:rPr>
              <w:t xml:space="preserve">(1)月度维护保养工作 </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1）检查机组的制冷剂是否足够或泄漏</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2）检查室外机扇叶是否刮碰和松动，检查电机的电流。</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3）检查机组压缩机电机的绝缘性能。</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4）检查所有传感器控制元件和安全阀门是否正常；</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5）检查修理控制线路及电脑控制参数，恢复机组正常运行；</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6）检查膨胀阀动作灵敏度，并给予调整；</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7）提交月度工作报告。</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（2）年度维护保养工作</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1）检查所有电控板的接口，并加固保证畅通；</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2）检查所有控制面板的参数并调整好；</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3）检查并固定好所有通信线路，保证通信线路畅通；</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4）检查测试空调机组的所有运行参数是否在正常工作范围内，若不正常应及时纠正 并报修故障隐患；</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5）检查室内机回风过滤器是否脏堵；</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6）检查检查室外机散热情况；</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7）清洗室外机冷凝器翅片；</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8）提交年度保养报告。</w:t>
            </w:r>
          </w:p>
          <w:p>
            <w:pPr>
              <w:tabs>
                <w:tab w:val="left" w:pos="180"/>
                <w:tab w:val="left" w:pos="1620"/>
              </w:tabs>
              <w:spacing w:line="400" w:lineRule="exact"/>
              <w:rPr>
                <w:rFonts w:ascii="宋体" w:hAnsi="宋体" w:eastAsia="宋体" w:cs="宋体"/>
                <w:b/>
                <w:bCs/>
                <w:szCs w:val="21"/>
              </w:rPr>
            </w:pPr>
            <w:r>
              <w:rPr>
                <w:rFonts w:hint="eastAsia" w:ascii="宋体" w:hAnsi="宋体" w:eastAsia="宋体" w:cs="宋体"/>
                <w:b/>
                <w:bCs/>
                <w:szCs w:val="21"/>
              </w:rPr>
              <w:t>9、冷却系统水处理全年维护保养</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 xml:space="preserve"> 每月对水系统进行4次以上的投药处理，每年对主机冷凝器进行1次化学清洗，并按设备相关技术要求及相关标准、规范要求进行维护保养，保证系统处于良好的待机状态，并随时能正常启动运行。达到以下要求：</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（1）循环水水质指标控制在国家标准GB/T 50050-2017规定的循环水水质标准之内</w:t>
            </w:r>
            <w:r>
              <w:rPr>
                <w:rFonts w:ascii="宋体" w:hAnsi="宋体" w:eastAsia="宋体" w:cs="宋体"/>
                <w:szCs w:val="21"/>
              </w:rPr>
              <w:t>，并每月提供自检的检测报告</w:t>
            </w:r>
            <w:r>
              <w:rPr>
                <w:rFonts w:hint="eastAsia" w:ascii="宋体" w:hAnsi="宋体" w:eastAsia="宋体" w:cs="宋体"/>
                <w:szCs w:val="21"/>
              </w:rPr>
              <w:t>：</w:t>
            </w:r>
          </w:p>
          <w:tbl>
            <w:tblPr>
              <w:tblStyle w:val="10"/>
              <w:tblpPr w:leftFromText="180" w:rightFromText="180" w:vertAnchor="text" w:horzAnchor="page" w:tblpX="541" w:tblpY="103"/>
              <w:tblOverlap w:val="never"/>
              <w:tblW w:w="50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3"/>
              <w:gridCol w:w="1734"/>
              <w:gridCol w:w="1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3" w:type="dxa"/>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项目</w:t>
                  </w:r>
                </w:p>
              </w:tc>
              <w:tc>
                <w:tcPr>
                  <w:tcW w:w="1734" w:type="dxa"/>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冷却水</w:t>
                  </w:r>
                </w:p>
              </w:tc>
              <w:tc>
                <w:tcPr>
                  <w:tcW w:w="1623" w:type="dxa"/>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冷冻水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3" w:type="dxa"/>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电导率</w:t>
                  </w:r>
                </w:p>
              </w:tc>
              <w:tc>
                <w:tcPr>
                  <w:tcW w:w="1734" w:type="dxa"/>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&lt;2000 us/cm</w:t>
                  </w:r>
                </w:p>
              </w:tc>
              <w:tc>
                <w:tcPr>
                  <w:tcW w:w="1623" w:type="dxa"/>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&lt;1000 us/cm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3" w:type="dxa"/>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PH 值</w:t>
                  </w:r>
                </w:p>
              </w:tc>
              <w:tc>
                <w:tcPr>
                  <w:tcW w:w="1734" w:type="dxa"/>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7.0～ 9.2</w:t>
                  </w:r>
                </w:p>
              </w:tc>
              <w:tc>
                <w:tcPr>
                  <w:tcW w:w="1623" w:type="dxa"/>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3" w:type="dxa"/>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铁离子</w:t>
                  </w:r>
                </w:p>
              </w:tc>
              <w:tc>
                <w:tcPr>
                  <w:tcW w:w="1734" w:type="dxa"/>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≤1ppm</w:t>
                  </w:r>
                </w:p>
              </w:tc>
              <w:tc>
                <w:tcPr>
                  <w:tcW w:w="1623" w:type="dxa"/>
                </w:tcPr>
                <w:p>
                  <w:pPr>
                    <w:tabs>
                      <w:tab w:val="left" w:pos="180"/>
                      <w:tab w:val="left" w:pos="1620"/>
                    </w:tabs>
                    <w:spacing w:line="40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3" w:type="dxa"/>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钙离子</w:t>
                  </w:r>
                </w:p>
              </w:tc>
              <w:tc>
                <w:tcPr>
                  <w:tcW w:w="1734" w:type="dxa"/>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30～ 200 mg/1</w:t>
                  </w:r>
                </w:p>
              </w:tc>
              <w:tc>
                <w:tcPr>
                  <w:tcW w:w="1623" w:type="dxa"/>
                </w:tcPr>
                <w:p>
                  <w:pPr>
                    <w:tabs>
                      <w:tab w:val="left" w:pos="180"/>
                      <w:tab w:val="left" w:pos="1620"/>
                    </w:tabs>
                    <w:spacing w:line="40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3" w:type="dxa"/>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氯离子</w:t>
                  </w:r>
                </w:p>
              </w:tc>
              <w:tc>
                <w:tcPr>
                  <w:tcW w:w="1734" w:type="dxa"/>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&lt;200 mg/1</w:t>
                  </w:r>
                </w:p>
              </w:tc>
              <w:tc>
                <w:tcPr>
                  <w:tcW w:w="1623" w:type="dxa"/>
                </w:tcPr>
                <w:p>
                  <w:pPr>
                    <w:tabs>
                      <w:tab w:val="left" w:pos="180"/>
                      <w:tab w:val="left" w:pos="1620"/>
                    </w:tabs>
                    <w:spacing w:line="400" w:lineRule="exact"/>
                    <w:rPr>
                      <w:rFonts w:ascii="宋体" w:hAnsi="宋体" w:eastAsia="宋体" w:cs="宋体"/>
                      <w:szCs w:val="21"/>
                    </w:rPr>
                  </w:pPr>
                </w:p>
              </w:tc>
            </w:tr>
          </w:tbl>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 xml:space="preserve">                      </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 xml:space="preserve">                   </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 xml:space="preserve">                    </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 xml:space="preserve">       </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 xml:space="preserve">        </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 xml:space="preserve">                   </w:t>
            </w:r>
          </w:p>
          <w:p>
            <w:pPr>
              <w:tabs>
                <w:tab w:val="left" w:pos="180"/>
                <w:tab w:val="left" w:pos="1620"/>
              </w:tabs>
              <w:spacing w:line="400" w:lineRule="exact"/>
              <w:rPr>
                <w:rFonts w:ascii="宋体" w:hAnsi="宋体" w:eastAsia="宋体" w:cs="宋体"/>
                <w:szCs w:val="21"/>
              </w:rPr>
            </w:pP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（2）有效控制腐蚀率：铁离子&lt; 0.100mm/a及≤ 0.6mg/ cm</w:t>
            </w:r>
            <w:r>
              <w:rPr>
                <w:rFonts w:hint="eastAsia" w:ascii="宋体" w:hAnsi="宋体" w:eastAsia="宋体" w:cs="宋体"/>
                <w:szCs w:val="21"/>
                <w:vertAlign w:val="superscript"/>
              </w:rPr>
              <w:t>2</w:t>
            </w:r>
            <w:r>
              <w:rPr>
                <w:rFonts w:hint="eastAsia" w:ascii="宋体" w:hAnsi="宋体" w:eastAsia="宋体" w:cs="宋体"/>
                <w:szCs w:val="21"/>
              </w:rPr>
              <w:t>：铜、铜合金等&lt; 0.005mm/a及≤ 0.3mg/ cm</w:t>
            </w:r>
            <w:r>
              <w:rPr>
                <w:rFonts w:hint="eastAsia" w:ascii="宋体" w:hAnsi="宋体" w:eastAsia="宋体" w:cs="宋体"/>
                <w:szCs w:val="21"/>
                <w:vertAlign w:val="superscript"/>
              </w:rPr>
              <w:t>2</w:t>
            </w:r>
            <w:r>
              <w:rPr>
                <w:rFonts w:hint="eastAsia" w:ascii="宋体" w:hAnsi="宋体" w:eastAsia="宋体" w:cs="宋体"/>
                <w:szCs w:val="21"/>
              </w:rPr>
              <w:t>。</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（3）水处理期间，无硬垢生成，循环水浓缩倍数为2.5～3.5。</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（4）有效抑制冷却水塔区域青苔、菌、藻类的生长，确保空调末端风机盘管不堵塞。</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（5）有效抑制循环冷冻水管路发生再腐蚀。</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（6）保证冷却水塔区域无青苔、菌、藻类生长。</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（7）冷凝器冷却水进出水温温差保持正常温差要求,设备运行正常情况下高低压力保持在机组规定的标准值范围。</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（8）循环冷冻水不使管路发生新的腐蚀。</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（9）水质处理期间的循环水排放时不污染环境,符合《污水综合排放标准》的要求。</w:t>
            </w:r>
          </w:p>
          <w:p>
            <w:pPr>
              <w:tabs>
                <w:tab w:val="left" w:pos="180"/>
                <w:tab w:val="left" w:pos="1620"/>
              </w:tabs>
              <w:spacing w:line="400" w:lineRule="exact"/>
              <w:rPr>
                <w:rFonts w:ascii="宋体" w:hAnsi="宋体" w:eastAsia="宋体" w:cs="宋体"/>
                <w:b/>
                <w:bCs/>
                <w:szCs w:val="21"/>
              </w:rPr>
            </w:pPr>
            <w:r>
              <w:rPr>
                <w:rFonts w:hint="eastAsia" w:ascii="宋体" w:hAnsi="宋体" w:eastAsia="宋体" w:cs="宋体"/>
                <w:b/>
                <w:bCs/>
                <w:szCs w:val="21"/>
              </w:rPr>
              <w:t>10、冷却塔全年维护保养</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（1）运行季节启动前准备和检查（3月底-4月初，一年一次）</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1）清洗水塔过滤层及水盘；</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2）检查调节接水盘水位；</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3）检查布水槽，保证布水均匀畅通；</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4）检查调节皮带的松紧度、同心度，紧固所有固定螺丝；</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5）检查运行噪音和振动情况；</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6）检查马达运行电流和电压确认在许可范围内</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7）润滑轴承；</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8）检查确认电气控制装置性能良好。</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（2）运行检查内容（每月一次）：</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1）每季度清洗冷却塔淤泥，青苔，污垢，藻类等，保持塔内清洁。</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2）使用高压水枪清洗填充料内的泥垢，水垢，藻类，保持流水畅通均匀，达到良好的散热效果。</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3）清洁冷却塔区域内的各种杂物，保持冷却塔外观的清洁美观。</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4）检查确认电气控制部分性能正常良好；</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5）检查马达电压及运行电流；</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6）根据需要检查皮带和皮带轮，必要时更换；</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7）检查和调节水箱水位；</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8）检查喷嘴和布水盆情况；</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9）检查运行噪音和振动情况；</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10）根据主机运行条件，检查高速散热情况。</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（3）每年度的设备停机检查和预防性工作（12-1月份）</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1）清洗水塔过滤层及水箱，排放水塔内的水；</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2）检查润滑轴承、调节螺栓等；</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3）检查马达绝缘并记录；</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4）电气控制装置检测及维护保养工作；</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5）停运期间，作好必要的防腐、防尘工作。</w:t>
            </w:r>
          </w:p>
          <w:p>
            <w:pPr>
              <w:tabs>
                <w:tab w:val="left" w:pos="180"/>
                <w:tab w:val="left" w:pos="1620"/>
              </w:tabs>
              <w:spacing w:line="400" w:lineRule="exact"/>
              <w:rPr>
                <w:rFonts w:ascii="宋体" w:hAnsi="宋体" w:eastAsia="宋体" w:cs="宋体"/>
                <w:b/>
                <w:bCs/>
                <w:szCs w:val="21"/>
              </w:rPr>
            </w:pPr>
            <w:r>
              <w:rPr>
                <w:rFonts w:hint="eastAsia" w:ascii="宋体" w:hAnsi="宋体" w:eastAsia="宋体" w:cs="宋体"/>
                <w:b/>
                <w:bCs/>
                <w:szCs w:val="21"/>
              </w:rPr>
              <w:t>11、水泵及阀门全年维护保养</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(1)运行季节启动前准备和检查（3月底-4月份）</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1）检查和清洗水泵管路的过滤器，清洁设备；</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 xml:space="preserve">2）检查水泵的密封件，有必要时更换； </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 xml:space="preserve">3）根据压力表指示调节适当的压差以满足系统需要； </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4）检查马达—水泵的连轴装置及同心度；</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5）检查确认控制电气装置性能及状况良好；</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6）根据需要更换或维修有关坏损部件。</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 xml:space="preserve"> (2)运行季节检查（每月一次）</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1）检查各阀门的开关位置是否正常，阀门是否处于正常位置，检查方法：看与标识是否相符，如不相符应调到正常的位置；</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2）检查各阀门阀门管路是否有漏水现象，压力表读数是否正常，观察高低压区压力应与高低设定压力应在规定范围上下；</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3）检查水泵有无有异常震动和异常声音，检查方法：手摸，观察有无剧烈震动或强烈摩擦声；</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4）检查机械密封是否漏水，排除不正常的漏水现象，检查方法：轴封漏水不超过20滴/分，且不呈连线状滴落与地上；</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5）检查轴封填料，检查所有轴承的转动，定期更换轴承润滑油；</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6）检查联轴器与轴的磨损情况，必要是更换轴承或轴；</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7）检查泵叶、泵壳的磨损情况，泵壳及基座的防锈情况，如锈穿或缺损则进行更换；</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8）检查水泵线圈，绕组用500V-1000V兆欧表测量绝缘电阻值应不低于0.5兆欧，对有问题的电机则要重新绕线；</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9）检查电机接线头并进行紧固。</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(3)每年度的设备停机检查和预防性工作（12-1月份）</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 xml:space="preserve">1）清洗水泵水路的过滤网； </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2）马达绝缘测试并记录，马达按厂家要求加润滑脂；</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3）检查叶轮及密封的磨损情况，有必要时更换；</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 xml:space="preserve">4）校正压力表、温度计的准确性能，必要时更换； </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5）检查调校连轴器的连接状态及同心度，紧固地脚镙栓；</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6）控制电气装置检测及维护；</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7）清洁设备，做好设备的防腐、防尘、防锈、除锈处理工作。</w:t>
            </w:r>
          </w:p>
          <w:p>
            <w:pPr>
              <w:tabs>
                <w:tab w:val="left" w:pos="180"/>
                <w:tab w:val="left" w:pos="1620"/>
              </w:tabs>
              <w:spacing w:line="400" w:lineRule="exact"/>
              <w:rPr>
                <w:rFonts w:ascii="宋体" w:hAnsi="宋体" w:eastAsia="宋体" w:cs="宋体"/>
                <w:b/>
                <w:bCs/>
                <w:szCs w:val="21"/>
              </w:rPr>
            </w:pPr>
            <w:r>
              <w:rPr>
                <w:rFonts w:hint="eastAsia" w:ascii="宋体" w:hAnsi="宋体" w:eastAsia="宋体" w:cs="宋体"/>
                <w:b/>
                <w:bCs/>
                <w:szCs w:val="21"/>
              </w:rPr>
              <w:t>12、空调控制电气系统的维护保养</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（1）每天：24小时提供设备故障维修服务。</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（2）每月定期对设备配电控制系统进行一次保养检查，具体内容如下：</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1)开机前，对主机、水泵、风机、冷却塔等配电控制柜电器部件进行全面除尘清洁；</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2)对电器部件绝缘状态进行检测，对电缆接头松紧状态进行紧固检查。</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3)检查各交流接触器触点是否有明显损坏迹象，如有则应更换维修；</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4)检查配电控制柜的防鼠，防潮孔洞措施进行完善修补；</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5)对老化线路进行更换处理；</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6)对设备日常运行电压等参数进行巡检记录。</w:t>
            </w:r>
          </w:p>
          <w:p>
            <w:pPr>
              <w:tabs>
                <w:tab w:val="left" w:pos="180"/>
                <w:tab w:val="left" w:pos="1620"/>
              </w:tabs>
              <w:spacing w:line="400" w:lineRule="exact"/>
              <w:rPr>
                <w:rFonts w:ascii="宋体" w:hAnsi="宋体" w:eastAsia="宋体" w:cs="宋体"/>
                <w:b/>
                <w:bCs/>
                <w:szCs w:val="21"/>
              </w:rPr>
            </w:pPr>
            <w:r>
              <w:rPr>
                <w:rFonts w:hint="eastAsia" w:ascii="宋体" w:hAnsi="宋体" w:eastAsia="宋体" w:cs="宋体"/>
                <w:b/>
                <w:bCs/>
                <w:szCs w:val="21"/>
              </w:rPr>
              <w:t>13、空气消毒机维护保养:</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1）每月巡检消毒机运行状态是否正常；</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2）检查运行噪音及振动情况，有异常及时处理</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3）每半年对普通科室回风滤网进行一次清洗及杀菌消毒；感染高风险科室包括但不限于ICU、日间手术室、血透室、神经外科监护室等每季度清洁过滤网；</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4）每半年机体表面、出风口百叶、进风口进行一次清洁消毒；</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5）每年检查清洁1次机内灰尘。如对机内各零部件风轮、紫外灯等进行清洁。</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6）等离子体消毒机芯每年用专用清洗液清洗至少1次。</w:t>
            </w:r>
          </w:p>
          <w:p>
            <w:pPr>
              <w:tabs>
                <w:tab w:val="left" w:pos="180"/>
                <w:tab w:val="left" w:pos="1620"/>
              </w:tabs>
              <w:spacing w:line="400" w:lineRule="exact"/>
              <w:rPr>
                <w:rFonts w:ascii="宋体" w:hAnsi="宋体" w:eastAsia="宋体" w:cs="宋体"/>
                <w:b/>
                <w:bCs/>
                <w:szCs w:val="21"/>
              </w:rPr>
            </w:pPr>
            <w:r>
              <w:rPr>
                <w:rFonts w:hint="eastAsia" w:ascii="宋体" w:hAnsi="宋体" w:eastAsia="宋体" w:cs="宋体"/>
                <w:b/>
                <w:bCs/>
                <w:szCs w:val="21"/>
              </w:rPr>
              <w:t>14、净化机组维护保养</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1）每日巡检；</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2）每周清洁室内回风滤网、新风机组粗效滤网1次；</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3）每月清洗消毒初效过滤器、新风滤网1次；新风机组粗效过滤器每3个月更换1次；中效过滤器每半年更换1次；末端高效过滤器每年检查1次，当阻力超过设计阻力160Pa或已经使用3年更换。更换材料由采购人负责；</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4）每年更换过滤器，更换前后采购人自行进行检测尘埃粒子数量。</w:t>
            </w:r>
          </w:p>
          <w:p>
            <w:pPr>
              <w:tabs>
                <w:tab w:val="left" w:pos="180"/>
                <w:tab w:val="left" w:pos="1620"/>
              </w:tabs>
              <w:spacing w:line="400" w:lineRule="exact"/>
              <w:rPr>
                <w:rFonts w:ascii="宋体" w:hAnsi="宋体" w:eastAsia="宋体" w:cs="宋体"/>
                <w:b/>
                <w:bCs/>
                <w:szCs w:val="21"/>
              </w:rPr>
            </w:pPr>
            <w:r>
              <w:rPr>
                <w:rFonts w:hint="eastAsia" w:ascii="宋体" w:hAnsi="宋体" w:eastAsia="宋体" w:cs="宋体"/>
                <w:b/>
                <w:bCs/>
                <w:szCs w:val="21"/>
              </w:rPr>
              <w:t>15、ICU回风滤网每周清洗消毒。</w:t>
            </w:r>
          </w:p>
          <w:p>
            <w:pPr>
              <w:tabs>
                <w:tab w:val="left" w:pos="180"/>
                <w:tab w:val="left" w:pos="1620"/>
              </w:tabs>
              <w:spacing w:line="400" w:lineRule="exact"/>
              <w:rPr>
                <w:rFonts w:ascii="宋体" w:hAnsi="宋体" w:eastAsia="宋体" w:cs="宋体"/>
                <w:b/>
                <w:bCs/>
                <w:szCs w:val="21"/>
              </w:rPr>
            </w:pPr>
            <w:r>
              <w:rPr>
                <w:rFonts w:hint="eastAsia" w:ascii="宋体" w:hAnsi="宋体" w:eastAsia="宋体" w:cs="宋体"/>
                <w:b/>
                <w:bCs/>
                <w:szCs w:val="21"/>
              </w:rPr>
              <w:t>16、日间手术室、消毒供应室回风滤网每月清洗消毒。发热门诊回风滤网每月清洗消毒。</w:t>
            </w:r>
          </w:p>
          <w:p>
            <w:pPr>
              <w:widowControl/>
              <w:spacing w:line="360" w:lineRule="exact"/>
              <w:jc w:val="left"/>
              <w:rPr>
                <w:rFonts w:ascii="宋体" w:hAnsi="宋体"/>
                <w:b/>
                <w:bCs/>
                <w:color w:val="FF0000"/>
                <w:szCs w:val="21"/>
              </w:rPr>
            </w:pPr>
            <w:r>
              <w:rPr>
                <w:rFonts w:hint="eastAsia" w:ascii="宋体" w:hAnsi="宋体"/>
                <w:b/>
                <w:bCs/>
                <w:color w:val="FF0000"/>
                <w:szCs w:val="21"/>
              </w:rPr>
              <w:t>▲三、安全事件管理</w:t>
            </w:r>
          </w:p>
          <w:p>
            <w:pPr>
              <w:widowControl/>
              <w:spacing w:line="360" w:lineRule="exact"/>
              <w:jc w:val="left"/>
              <w:rPr>
                <w:rFonts w:ascii="宋体" w:hAnsi="宋体"/>
                <w:bCs/>
                <w:color w:val="FF0000"/>
                <w:szCs w:val="21"/>
              </w:rPr>
            </w:pPr>
            <w:r>
              <w:rPr>
                <w:rFonts w:hint="eastAsia" w:ascii="宋体" w:hAnsi="宋体"/>
                <w:bCs/>
                <w:color w:val="FF0000"/>
                <w:szCs w:val="21"/>
              </w:rPr>
              <w:t xml:space="preserve">    1.安全事件是指服务范围设备发生起火、冒烟等消防安全事件，发生设备、管路等大面积漏水安全事件，可能危及院区正常运营的安全事件。</w:t>
            </w:r>
          </w:p>
          <w:p>
            <w:pPr>
              <w:widowControl/>
              <w:spacing w:line="360" w:lineRule="exact"/>
              <w:ind w:firstLine="420" w:firstLineChars="200"/>
              <w:jc w:val="left"/>
              <w:rPr>
                <w:rFonts w:ascii="宋体" w:hAnsi="宋体"/>
                <w:bCs/>
                <w:color w:val="FF0000"/>
                <w:szCs w:val="21"/>
              </w:rPr>
            </w:pPr>
            <w:r>
              <w:rPr>
                <w:rFonts w:hint="eastAsia" w:ascii="宋体" w:hAnsi="宋体"/>
                <w:bCs/>
                <w:color w:val="FF0000"/>
                <w:szCs w:val="21"/>
              </w:rPr>
              <w:t>2.中标人制定安全事件应急管理制度、安全事件应急处理流程。</w:t>
            </w:r>
          </w:p>
          <w:p>
            <w:pPr>
              <w:widowControl/>
              <w:spacing w:line="360" w:lineRule="exact"/>
              <w:ind w:firstLine="420" w:firstLineChars="200"/>
              <w:jc w:val="left"/>
            </w:pPr>
            <w:r>
              <w:rPr>
                <w:rFonts w:hint="eastAsia" w:ascii="宋体" w:hAnsi="宋体"/>
                <w:bCs/>
                <w:color w:val="FF0000"/>
                <w:szCs w:val="21"/>
              </w:rPr>
              <w:t>3.发生安全事件中标人应在接到采购人通知10分钟内赶到现场进行应急处置。</w:t>
            </w:r>
          </w:p>
          <w:p>
            <w:pPr>
              <w:widowControl/>
              <w:spacing w:line="360" w:lineRule="exact"/>
              <w:jc w:val="left"/>
              <w:rPr>
                <w:rFonts w:ascii="宋体" w:hAnsi="宋体"/>
                <w:b/>
                <w:bCs/>
                <w:color w:val="000000"/>
                <w:szCs w:val="21"/>
              </w:rPr>
            </w:pPr>
            <w:r>
              <w:rPr>
                <w:rFonts w:hint="eastAsia" w:ascii="宋体" w:hAnsi="宋体"/>
                <w:b/>
                <w:bCs/>
                <w:color w:val="000000"/>
                <w:szCs w:val="21"/>
              </w:rPr>
              <w:t>四、节能运维服务</w:t>
            </w:r>
          </w:p>
          <w:p>
            <w:pPr>
              <w:widowControl/>
              <w:spacing w:line="360" w:lineRule="exact"/>
              <w:ind w:firstLine="420" w:firstLineChars="200"/>
              <w:jc w:val="left"/>
              <w:rPr>
                <w:rFonts w:ascii="宋体" w:hAnsi="宋体"/>
                <w:bCs/>
                <w:color w:val="000000"/>
                <w:szCs w:val="21"/>
              </w:rPr>
            </w:pPr>
            <w:r>
              <w:rPr>
                <w:rFonts w:hint="eastAsia" w:ascii="宋体" w:hAnsi="宋体"/>
                <w:bCs/>
                <w:color w:val="000000"/>
                <w:szCs w:val="21"/>
              </w:rPr>
              <w:t xml:space="preserve"> （1）医院空调用能比较大，为响应节能号召，要求对中央空调系统实施节能目标的运维服务，降低使用能耗。</w:t>
            </w:r>
          </w:p>
          <w:p>
            <w:pPr>
              <w:widowControl/>
              <w:spacing w:line="360" w:lineRule="exact"/>
              <w:ind w:firstLine="420" w:firstLineChars="200"/>
              <w:jc w:val="left"/>
              <w:rPr>
                <w:rFonts w:ascii="宋体" w:hAnsi="宋体"/>
                <w:bCs/>
                <w:color w:val="000000"/>
                <w:szCs w:val="21"/>
              </w:rPr>
            </w:pPr>
            <w:r>
              <w:rPr>
                <w:rFonts w:hint="eastAsia" w:ascii="宋体" w:hAnsi="宋体"/>
                <w:bCs/>
                <w:color w:val="000000"/>
                <w:szCs w:val="21"/>
              </w:rPr>
              <w:t>（2）供应商根据自身空调维护经验，在完成日常的保养工作外，观察、分析设备的运行状态，分析设备的运行效率，控制调节设备运行，确保设备节能运行；</w:t>
            </w:r>
          </w:p>
          <w:p>
            <w:pPr>
              <w:widowControl/>
              <w:spacing w:line="360" w:lineRule="exact"/>
              <w:ind w:firstLine="420" w:firstLineChars="200"/>
              <w:jc w:val="left"/>
              <w:rPr>
                <w:rFonts w:ascii="宋体" w:hAnsi="宋体"/>
                <w:bCs/>
                <w:color w:val="000000"/>
                <w:szCs w:val="21"/>
              </w:rPr>
            </w:pPr>
            <w:r>
              <w:rPr>
                <w:rFonts w:hint="eastAsia" w:ascii="宋体" w:hAnsi="宋体"/>
                <w:bCs/>
                <w:color w:val="000000"/>
                <w:szCs w:val="21"/>
              </w:rPr>
              <w:t>（3）供应商通过数据分析，每月提供空调各设备的用能报告，并给出节能运行建议报告，并及时做出设备运行策略的调整，确保空调系统处于节能运行状态；</w:t>
            </w:r>
          </w:p>
          <w:p>
            <w:pPr>
              <w:widowControl/>
              <w:spacing w:line="360" w:lineRule="exact"/>
              <w:ind w:firstLine="420" w:firstLineChars="200"/>
              <w:jc w:val="left"/>
              <w:rPr>
                <w:rFonts w:ascii="宋体" w:hAnsi="宋体"/>
                <w:bCs/>
                <w:color w:val="000000"/>
                <w:szCs w:val="21"/>
              </w:rPr>
            </w:pPr>
            <w:r>
              <w:rPr>
                <w:rFonts w:hint="eastAsia" w:ascii="宋体" w:hAnsi="宋体"/>
                <w:bCs/>
                <w:color w:val="000000"/>
                <w:szCs w:val="21"/>
              </w:rPr>
              <w:t xml:space="preserve"> （4）为便于各空调系统综合运营管控、分析，要求采用科技技术手段、数据采集手法、大数据分析策略，做出详细节能报告，报告包含机房整体用能，各设备的每月用能状况，使用自行建立的能源数据采集平台获取数据，自动生成用能数据、用能曲线，并根据数据给出节能运行策略的建议。</w:t>
            </w:r>
          </w:p>
          <w:p>
            <w:pPr>
              <w:widowControl/>
              <w:spacing w:line="360" w:lineRule="exact"/>
              <w:ind w:firstLine="420" w:firstLineChars="200"/>
              <w:jc w:val="left"/>
              <w:rPr>
                <w:rFonts w:ascii="宋体" w:hAnsi="宋体"/>
                <w:bCs/>
                <w:color w:val="000000"/>
                <w:szCs w:val="21"/>
              </w:rPr>
            </w:pPr>
            <w:r>
              <w:rPr>
                <w:rFonts w:hint="eastAsia" w:ascii="宋体" w:hAnsi="宋体"/>
                <w:bCs/>
                <w:color w:val="000000"/>
                <w:szCs w:val="21"/>
              </w:rPr>
              <w:t>（5）供应商应具有能源管理系统平台管理及维护经验，开放给业主使用，并共同监管，实时查看用能情况，以确保空调系统节能运行，确保能源数据的实时性、准确性；</w:t>
            </w:r>
          </w:p>
          <w:p>
            <w:pPr>
              <w:widowControl/>
              <w:spacing w:line="360" w:lineRule="exact"/>
              <w:ind w:firstLine="420" w:firstLineChars="200"/>
              <w:jc w:val="left"/>
              <w:rPr>
                <w:rFonts w:ascii="宋体" w:hAnsi="宋体"/>
                <w:bCs/>
                <w:color w:val="000000"/>
                <w:szCs w:val="21"/>
              </w:rPr>
            </w:pPr>
            <w:r>
              <w:rPr>
                <w:rFonts w:hint="eastAsia" w:ascii="宋体" w:hAnsi="宋体"/>
                <w:bCs/>
                <w:color w:val="000000"/>
                <w:szCs w:val="21"/>
              </w:rPr>
              <w:t>（6）每年提供一份各系统的中央空调的年能源分析报告，为下一年度能耗管控目标作为依据。</w:t>
            </w:r>
          </w:p>
          <w:p>
            <w:pPr>
              <w:widowControl/>
              <w:spacing w:line="360" w:lineRule="exact"/>
              <w:ind w:firstLine="420" w:firstLineChars="200"/>
              <w:jc w:val="left"/>
              <w:rPr>
                <w:rFonts w:ascii="宋体" w:hAnsi="宋体"/>
                <w:bCs/>
                <w:color w:val="000000"/>
                <w:szCs w:val="21"/>
              </w:rPr>
            </w:pPr>
            <w:r>
              <w:rPr>
                <w:rFonts w:hint="eastAsia" w:ascii="宋体" w:hAnsi="宋体"/>
                <w:bCs/>
                <w:color w:val="000000"/>
                <w:szCs w:val="21"/>
              </w:rPr>
              <w:t>（7）维保单位在履约期间，依据各系统的运行情况、医院方的用能习惯，提出相应的节能运营建议或者报告，由医院方审批确认后执行节能管理或技术改造。并要求在节能管理或技术改造，各中央空调系统（至少包含主机、水泵、冷却塔设备）的耗电量相对于改造前小于或等于95%；每月提供各中央空调系统的能耗分析报告，作为请款付款依据。</w:t>
            </w:r>
          </w:p>
          <w:p>
            <w:pPr>
              <w:widowControl/>
              <w:spacing w:line="360" w:lineRule="exact"/>
              <w:ind w:firstLine="420" w:firstLineChars="200"/>
              <w:jc w:val="left"/>
              <w:rPr>
                <w:rFonts w:ascii="宋体" w:hAnsi="宋体"/>
                <w:bCs/>
                <w:color w:val="000000"/>
                <w:szCs w:val="21"/>
              </w:rPr>
            </w:pPr>
          </w:p>
          <w:p>
            <w:pPr>
              <w:widowControl/>
              <w:spacing w:line="360" w:lineRule="exact"/>
              <w:jc w:val="left"/>
              <w:rPr>
                <w:rFonts w:ascii="宋体" w:hAnsi="宋体"/>
                <w:bCs/>
                <w:color w:val="FF0000"/>
                <w:szCs w:val="21"/>
              </w:rPr>
            </w:pPr>
            <w:r>
              <w:rPr>
                <w:rFonts w:hint="eastAsia" w:ascii="宋体" w:hAnsi="宋体" w:eastAsia="宋体" w:cs="Times New Roman"/>
                <w:color w:val="FF0000"/>
                <w:szCs w:val="21"/>
              </w:rPr>
              <w:t>▲</w:t>
            </w:r>
            <w:r>
              <w:rPr>
                <w:rFonts w:ascii="宋体" w:hAnsi="宋体"/>
                <w:bCs/>
                <w:color w:val="FF0000"/>
                <w:szCs w:val="21"/>
              </w:rPr>
              <w:t>五、</w:t>
            </w:r>
            <w:r>
              <w:rPr>
                <w:rFonts w:hint="eastAsia" w:ascii="宋体" w:hAnsi="宋体"/>
                <w:bCs/>
                <w:color w:val="FF0000"/>
                <w:szCs w:val="21"/>
              </w:rPr>
              <w:t>结合节能运维需求，根据空调系统情况，达到节能管控需求，自行增加数字计量电表、监测传感器等，接入能源管理系统，自动统计报表，生成能耗报告。</w:t>
            </w:r>
          </w:p>
          <w:p>
            <w:pPr>
              <w:tabs>
                <w:tab w:val="left" w:pos="180"/>
                <w:tab w:val="left" w:pos="1620"/>
              </w:tabs>
              <w:spacing w:line="400" w:lineRule="exact"/>
              <w:rPr>
                <w:rFonts w:ascii="宋体" w:hAnsi="宋体" w:eastAsia="宋体" w:cs="宋体"/>
                <w:szCs w:val="21"/>
              </w:rPr>
            </w:pP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六、其他要求：</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▲1、成交供应商应当按照合同约定全面履行义务，完成成交项目，不得向他人转让成交项目。</w:t>
            </w:r>
          </w:p>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2、供应商在当地拥有配品配件仓库，能及时提供空调维修常用配件，响应文件提供仓库产权证明或者租赁合同并附照片,提供本地机构空调维保专业仪器仪表配置清单，工具基本要求：包含</w:t>
            </w:r>
          </w:p>
          <w:tbl>
            <w:tblPr>
              <w:tblStyle w:val="9"/>
              <w:tblW w:w="6920" w:type="dxa"/>
              <w:tblInd w:w="0" w:type="dxa"/>
              <w:tblLayout w:type="fixed"/>
              <w:tblCellMar>
                <w:top w:w="0" w:type="dxa"/>
                <w:left w:w="108" w:type="dxa"/>
                <w:bottom w:w="0" w:type="dxa"/>
                <w:right w:w="108" w:type="dxa"/>
              </w:tblCellMar>
            </w:tblPr>
            <w:tblGrid>
              <w:gridCol w:w="725"/>
              <w:gridCol w:w="3900"/>
              <w:gridCol w:w="2295"/>
            </w:tblGrid>
            <w:tr>
              <w:tblPrEx>
                <w:tblCellMar>
                  <w:top w:w="0" w:type="dxa"/>
                  <w:left w:w="108" w:type="dxa"/>
                  <w:bottom w:w="0" w:type="dxa"/>
                  <w:right w:w="108" w:type="dxa"/>
                </w:tblCellMar>
              </w:tblPrEx>
              <w:trPr>
                <w:trHeight w:val="429" w:hRule="atLeast"/>
              </w:trPr>
              <w:tc>
                <w:tcPr>
                  <w:tcW w:w="692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项目要求配置工具</w:t>
                  </w:r>
                </w:p>
              </w:tc>
            </w:tr>
            <w:tr>
              <w:tblPrEx>
                <w:tblCellMar>
                  <w:top w:w="0" w:type="dxa"/>
                  <w:left w:w="108" w:type="dxa"/>
                  <w:bottom w:w="0" w:type="dxa"/>
                  <w:right w:w="108" w:type="dxa"/>
                </w:tblCellMar>
              </w:tblPrEx>
              <w:trPr>
                <w:trHeight w:val="429" w:hRule="atLeast"/>
              </w:trPr>
              <w:tc>
                <w:tcPr>
                  <w:tcW w:w="725" w:type="dxa"/>
                  <w:tcBorders>
                    <w:top w:val="nil"/>
                    <w:left w:val="single" w:color="auto" w:sz="4" w:space="0"/>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序号</w:t>
                  </w:r>
                </w:p>
              </w:tc>
              <w:tc>
                <w:tcPr>
                  <w:tcW w:w="3900"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工具名称</w:t>
                  </w:r>
                </w:p>
              </w:tc>
              <w:tc>
                <w:tcPr>
                  <w:tcW w:w="2295"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最低数量要求</w:t>
                  </w:r>
                </w:p>
              </w:tc>
            </w:tr>
            <w:tr>
              <w:trPr>
                <w:trHeight w:val="429" w:hRule="atLeast"/>
              </w:trPr>
              <w:tc>
                <w:tcPr>
                  <w:tcW w:w="725" w:type="dxa"/>
                  <w:tcBorders>
                    <w:top w:val="nil"/>
                    <w:left w:val="single" w:color="auto" w:sz="4" w:space="0"/>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w:t>
                  </w:r>
                </w:p>
              </w:tc>
              <w:tc>
                <w:tcPr>
                  <w:tcW w:w="3900"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高压清洗机</w:t>
                  </w:r>
                </w:p>
              </w:tc>
              <w:tc>
                <w:tcPr>
                  <w:tcW w:w="2295"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6台</w:t>
                  </w:r>
                </w:p>
              </w:tc>
            </w:tr>
            <w:tr>
              <w:tblPrEx>
                <w:tblCellMar>
                  <w:top w:w="0" w:type="dxa"/>
                  <w:left w:w="108" w:type="dxa"/>
                  <w:bottom w:w="0" w:type="dxa"/>
                  <w:right w:w="108" w:type="dxa"/>
                </w:tblCellMar>
              </w:tblPrEx>
              <w:trPr>
                <w:trHeight w:val="429" w:hRule="atLeast"/>
              </w:trPr>
              <w:tc>
                <w:tcPr>
                  <w:tcW w:w="725" w:type="dxa"/>
                  <w:tcBorders>
                    <w:top w:val="nil"/>
                    <w:left w:val="single" w:color="auto" w:sz="4" w:space="0"/>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w:t>
                  </w:r>
                </w:p>
              </w:tc>
              <w:tc>
                <w:tcPr>
                  <w:tcW w:w="3900"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冷凝器通炮机</w:t>
                  </w:r>
                </w:p>
              </w:tc>
              <w:tc>
                <w:tcPr>
                  <w:tcW w:w="2295"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6台</w:t>
                  </w:r>
                </w:p>
              </w:tc>
            </w:tr>
            <w:tr>
              <w:tblPrEx>
                <w:tblCellMar>
                  <w:top w:w="0" w:type="dxa"/>
                  <w:left w:w="108" w:type="dxa"/>
                  <w:bottom w:w="0" w:type="dxa"/>
                  <w:right w:w="108" w:type="dxa"/>
                </w:tblCellMar>
              </w:tblPrEx>
              <w:trPr>
                <w:trHeight w:val="429" w:hRule="atLeast"/>
              </w:trPr>
              <w:tc>
                <w:tcPr>
                  <w:tcW w:w="725" w:type="dxa"/>
                  <w:tcBorders>
                    <w:top w:val="nil"/>
                    <w:left w:val="single" w:color="auto" w:sz="4" w:space="0"/>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w:t>
                  </w:r>
                </w:p>
              </w:tc>
              <w:tc>
                <w:tcPr>
                  <w:tcW w:w="3900"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冷媒回收机</w:t>
                  </w:r>
                </w:p>
              </w:tc>
              <w:tc>
                <w:tcPr>
                  <w:tcW w:w="2295"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6台</w:t>
                  </w:r>
                </w:p>
              </w:tc>
            </w:tr>
            <w:tr>
              <w:tblPrEx>
                <w:tblCellMar>
                  <w:top w:w="0" w:type="dxa"/>
                  <w:left w:w="108" w:type="dxa"/>
                  <w:bottom w:w="0" w:type="dxa"/>
                  <w:right w:w="108" w:type="dxa"/>
                </w:tblCellMar>
              </w:tblPrEx>
              <w:trPr>
                <w:trHeight w:val="429" w:hRule="atLeast"/>
              </w:trPr>
              <w:tc>
                <w:tcPr>
                  <w:tcW w:w="725" w:type="dxa"/>
                  <w:tcBorders>
                    <w:top w:val="nil"/>
                    <w:left w:val="single" w:color="auto" w:sz="4" w:space="0"/>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4</w:t>
                  </w:r>
                </w:p>
              </w:tc>
              <w:tc>
                <w:tcPr>
                  <w:tcW w:w="3900"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真空泵</w:t>
                  </w:r>
                </w:p>
              </w:tc>
              <w:tc>
                <w:tcPr>
                  <w:tcW w:w="2295"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6台</w:t>
                  </w:r>
                </w:p>
              </w:tc>
            </w:tr>
            <w:tr>
              <w:tblPrEx>
                <w:tblCellMar>
                  <w:top w:w="0" w:type="dxa"/>
                  <w:left w:w="108" w:type="dxa"/>
                  <w:bottom w:w="0" w:type="dxa"/>
                  <w:right w:w="108" w:type="dxa"/>
                </w:tblCellMar>
              </w:tblPrEx>
              <w:trPr>
                <w:trHeight w:val="429" w:hRule="atLeast"/>
              </w:trPr>
              <w:tc>
                <w:tcPr>
                  <w:tcW w:w="725" w:type="dxa"/>
                  <w:tcBorders>
                    <w:top w:val="nil"/>
                    <w:left w:val="single" w:color="auto" w:sz="4" w:space="0"/>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5</w:t>
                  </w:r>
                </w:p>
              </w:tc>
              <w:tc>
                <w:tcPr>
                  <w:tcW w:w="3900"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专业冷媒回收罐</w:t>
                  </w:r>
                </w:p>
              </w:tc>
              <w:tc>
                <w:tcPr>
                  <w:tcW w:w="2295"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10个</w:t>
                  </w:r>
                </w:p>
              </w:tc>
            </w:tr>
            <w:tr>
              <w:tblPrEx>
                <w:tblCellMar>
                  <w:top w:w="0" w:type="dxa"/>
                  <w:left w:w="108" w:type="dxa"/>
                  <w:bottom w:w="0" w:type="dxa"/>
                  <w:right w:w="108" w:type="dxa"/>
                </w:tblCellMar>
              </w:tblPrEx>
              <w:trPr>
                <w:trHeight w:val="429" w:hRule="atLeast"/>
              </w:trPr>
              <w:tc>
                <w:tcPr>
                  <w:tcW w:w="725" w:type="dxa"/>
                  <w:tcBorders>
                    <w:top w:val="nil"/>
                    <w:left w:val="single" w:color="auto" w:sz="4" w:space="0"/>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6</w:t>
                  </w:r>
                </w:p>
              </w:tc>
              <w:tc>
                <w:tcPr>
                  <w:tcW w:w="3900"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兆欧表</w:t>
                  </w:r>
                </w:p>
              </w:tc>
              <w:tc>
                <w:tcPr>
                  <w:tcW w:w="2295"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10台</w:t>
                  </w:r>
                </w:p>
              </w:tc>
            </w:tr>
            <w:tr>
              <w:tblPrEx>
                <w:tblCellMar>
                  <w:top w:w="0" w:type="dxa"/>
                  <w:left w:w="108" w:type="dxa"/>
                  <w:bottom w:w="0" w:type="dxa"/>
                  <w:right w:w="108" w:type="dxa"/>
                </w:tblCellMar>
              </w:tblPrEx>
              <w:trPr>
                <w:trHeight w:val="429" w:hRule="atLeast"/>
              </w:trPr>
              <w:tc>
                <w:tcPr>
                  <w:tcW w:w="725" w:type="dxa"/>
                  <w:tcBorders>
                    <w:top w:val="nil"/>
                    <w:left w:val="single" w:color="auto" w:sz="4" w:space="0"/>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7</w:t>
                  </w:r>
                </w:p>
              </w:tc>
              <w:tc>
                <w:tcPr>
                  <w:tcW w:w="3900"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红外测温仪</w:t>
                  </w:r>
                </w:p>
              </w:tc>
              <w:tc>
                <w:tcPr>
                  <w:tcW w:w="2295"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10个</w:t>
                  </w:r>
                </w:p>
              </w:tc>
            </w:tr>
            <w:tr>
              <w:trPr>
                <w:trHeight w:val="429" w:hRule="atLeast"/>
              </w:trPr>
              <w:tc>
                <w:tcPr>
                  <w:tcW w:w="725" w:type="dxa"/>
                  <w:tcBorders>
                    <w:top w:val="nil"/>
                    <w:left w:val="single" w:color="auto" w:sz="4" w:space="0"/>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8</w:t>
                  </w:r>
                </w:p>
              </w:tc>
              <w:tc>
                <w:tcPr>
                  <w:tcW w:w="3900"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红外热像仪</w:t>
                  </w:r>
                </w:p>
              </w:tc>
              <w:tc>
                <w:tcPr>
                  <w:tcW w:w="2295"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2个</w:t>
                  </w:r>
                </w:p>
              </w:tc>
            </w:tr>
            <w:tr>
              <w:trPr>
                <w:trHeight w:val="429" w:hRule="atLeast"/>
              </w:trPr>
              <w:tc>
                <w:tcPr>
                  <w:tcW w:w="725" w:type="dxa"/>
                  <w:tcBorders>
                    <w:top w:val="nil"/>
                    <w:left w:val="single" w:color="auto" w:sz="4" w:space="0"/>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9</w:t>
                  </w:r>
                </w:p>
              </w:tc>
              <w:tc>
                <w:tcPr>
                  <w:tcW w:w="3900"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万用表</w:t>
                  </w:r>
                </w:p>
              </w:tc>
              <w:tc>
                <w:tcPr>
                  <w:tcW w:w="2295"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15台</w:t>
                  </w:r>
                </w:p>
              </w:tc>
            </w:tr>
            <w:tr>
              <w:trPr>
                <w:trHeight w:val="429" w:hRule="atLeast"/>
              </w:trPr>
              <w:tc>
                <w:tcPr>
                  <w:tcW w:w="725" w:type="dxa"/>
                  <w:tcBorders>
                    <w:top w:val="nil"/>
                    <w:left w:val="single" w:color="auto" w:sz="4" w:space="0"/>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10</w:t>
                  </w:r>
                </w:p>
              </w:tc>
              <w:tc>
                <w:tcPr>
                  <w:tcW w:w="3900"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钳流表</w:t>
                  </w:r>
                </w:p>
              </w:tc>
              <w:tc>
                <w:tcPr>
                  <w:tcW w:w="2295"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15台</w:t>
                  </w:r>
                </w:p>
              </w:tc>
            </w:tr>
            <w:tr>
              <w:trPr>
                <w:trHeight w:val="398" w:hRule="atLeast"/>
              </w:trPr>
              <w:tc>
                <w:tcPr>
                  <w:tcW w:w="725" w:type="dxa"/>
                  <w:tcBorders>
                    <w:top w:val="nil"/>
                    <w:left w:val="single" w:color="auto" w:sz="4" w:space="0"/>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11</w:t>
                  </w:r>
                </w:p>
              </w:tc>
              <w:tc>
                <w:tcPr>
                  <w:tcW w:w="3900"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工具包（含常用维修工具）</w:t>
                  </w:r>
                </w:p>
              </w:tc>
              <w:tc>
                <w:tcPr>
                  <w:tcW w:w="2295" w:type="dxa"/>
                  <w:tcBorders>
                    <w:top w:val="nil"/>
                    <w:left w:val="nil"/>
                    <w:bottom w:val="single" w:color="auto" w:sz="4" w:space="0"/>
                    <w:right w:val="single" w:color="auto" w:sz="4" w:space="0"/>
                  </w:tcBorders>
                  <w:shd w:val="clear" w:color="auto" w:fill="auto"/>
                  <w:noWrap/>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宋体"/>
                      <w:szCs w:val="21"/>
                    </w:rPr>
                    <w:t>3套</w:t>
                  </w:r>
                </w:p>
              </w:tc>
            </w:tr>
          </w:tbl>
          <w:p>
            <w:pPr>
              <w:tabs>
                <w:tab w:val="left" w:pos="180"/>
                <w:tab w:val="left" w:pos="1620"/>
              </w:tabs>
              <w:spacing w:line="40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386" w:type="dxa"/>
            <w:gridSpan w:val="4"/>
            <w:tcBorders>
              <w:left w:val="single" w:color="auto" w:sz="4" w:space="0"/>
              <w:bottom w:val="single" w:color="auto" w:sz="4" w:space="0"/>
              <w:right w:val="single" w:color="auto" w:sz="4" w:space="0"/>
            </w:tcBorders>
            <w:vAlign w:val="center"/>
          </w:tcPr>
          <w:p>
            <w:pPr>
              <w:tabs>
                <w:tab w:val="left" w:pos="180"/>
                <w:tab w:val="left" w:pos="1620"/>
              </w:tabs>
              <w:spacing w:line="400" w:lineRule="exact"/>
              <w:rPr>
                <w:rFonts w:ascii="宋体" w:hAnsi="宋体" w:eastAsia="宋体" w:cs="宋体"/>
                <w:szCs w:val="21"/>
              </w:rPr>
            </w:pPr>
            <w:r>
              <w:rPr>
                <w:rFonts w:hint="eastAsia" w:ascii="宋体" w:hAnsi="宋体" w:eastAsia="宋体" w:cs="Times New Roman"/>
                <w:szCs w:val="21"/>
              </w:rPr>
              <w:t>二、▲</w:t>
            </w:r>
            <w:r>
              <w:rPr>
                <w:rFonts w:hint="eastAsia" w:ascii="宋体" w:hAnsi="宋体" w:eastAsia="宋体" w:cs="Times New Roman"/>
                <w:b/>
                <w:szCs w:val="21"/>
              </w:rPr>
              <w:t>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35" w:type="dxa"/>
            <w:tcBorders>
              <w:left w:val="single" w:color="auto" w:sz="4" w:space="0"/>
              <w:bottom w:val="single" w:color="auto" w:sz="4" w:space="0"/>
              <w:right w:val="single" w:color="auto" w:sz="4" w:space="0"/>
            </w:tcBorders>
            <w:shd w:val="clear" w:color="auto" w:fill="auto"/>
            <w:vAlign w:val="center"/>
          </w:tcPr>
          <w:p>
            <w:pPr>
              <w:spacing w:line="380" w:lineRule="exact"/>
              <w:rPr>
                <w:rFonts w:ascii="宋体" w:hAnsi="宋体" w:eastAsia="宋体" w:cs="Times New Roman"/>
                <w:b/>
                <w:sz w:val="28"/>
                <w:szCs w:val="28"/>
              </w:rPr>
            </w:pPr>
            <w:r>
              <w:rPr>
                <w:rFonts w:hint="eastAsia" w:ascii="宋体" w:hAnsi="宋体" w:eastAsia="宋体" w:cs="宋体"/>
                <w:kern w:val="0"/>
                <w:szCs w:val="21"/>
              </w:rPr>
              <w:t>维保服务期限及服务地点</w:t>
            </w:r>
          </w:p>
        </w:tc>
        <w:tc>
          <w:tcPr>
            <w:tcW w:w="9451" w:type="dxa"/>
            <w:gridSpan w:val="3"/>
            <w:tcBorders>
              <w:left w:val="single" w:color="auto" w:sz="4" w:space="0"/>
              <w:bottom w:val="single" w:color="auto" w:sz="4" w:space="0"/>
              <w:right w:val="single" w:color="auto" w:sz="4" w:space="0"/>
            </w:tcBorders>
            <w:shd w:val="clear" w:color="auto" w:fill="auto"/>
            <w:vAlign w:val="center"/>
          </w:tcPr>
          <w:p>
            <w:pPr>
              <w:spacing w:line="380" w:lineRule="exact"/>
              <w:rPr>
                <w:rFonts w:ascii="宋体" w:hAnsi="宋体" w:eastAsia="宋体" w:cs="Times New Roman"/>
                <w:b/>
                <w:sz w:val="28"/>
                <w:szCs w:val="28"/>
              </w:rPr>
            </w:pPr>
            <w:r>
              <w:rPr>
                <w:rFonts w:hint="eastAsia" w:ascii="宋体" w:hAnsi="宋体" w:eastAsia="宋体" w:cs="宋体"/>
                <w:kern w:val="0"/>
                <w:szCs w:val="21"/>
              </w:rPr>
              <w:t>维保服务期限及服务地点</w:t>
            </w:r>
          </w:p>
          <w:p>
            <w:pPr>
              <w:spacing w:line="520" w:lineRule="exact"/>
              <w:jc w:val="left"/>
              <w:rPr>
                <w:rFonts w:ascii="宋体" w:hAnsi="宋体" w:eastAsia="宋体" w:cs="宋体"/>
                <w:kern w:val="0"/>
                <w:szCs w:val="21"/>
              </w:rPr>
            </w:pPr>
            <w:r>
              <w:rPr>
                <w:rFonts w:hint="eastAsia" w:ascii="宋体" w:hAnsi="宋体" w:eastAsia="宋体" w:cs="宋体"/>
                <w:kern w:val="0"/>
                <w:szCs w:val="21"/>
              </w:rPr>
              <w:t>维保服务期限：</w:t>
            </w:r>
            <w:r>
              <w:rPr>
                <w:rFonts w:hint="eastAsia" w:ascii="宋体" w:hAnsi="宋体" w:eastAsia="宋体" w:cs="宋体"/>
                <w:color w:val="FF0000"/>
                <w:kern w:val="0"/>
                <w:szCs w:val="21"/>
              </w:rPr>
              <w:t>二</w:t>
            </w:r>
            <w:r>
              <w:rPr>
                <w:rFonts w:hint="eastAsia" w:ascii="宋体" w:hAnsi="宋体" w:eastAsia="宋体" w:cs="宋体"/>
                <w:kern w:val="0"/>
                <w:szCs w:val="21"/>
              </w:rPr>
              <w:t>年，具体起止期限以合同约定为准。</w:t>
            </w:r>
          </w:p>
          <w:p>
            <w:pPr>
              <w:spacing w:line="520" w:lineRule="exact"/>
              <w:jc w:val="left"/>
              <w:rPr>
                <w:rFonts w:ascii="宋体" w:hAnsi="宋体" w:eastAsia="宋体" w:cs="宋体"/>
                <w:szCs w:val="21"/>
                <w:lang w:bidi="en-US"/>
              </w:rPr>
            </w:pPr>
            <w:r>
              <w:rPr>
                <w:rFonts w:hint="eastAsia" w:ascii="宋体" w:hAnsi="宋体" w:eastAsia="宋体" w:cs="宋体"/>
                <w:kern w:val="0"/>
                <w:szCs w:val="21"/>
              </w:rPr>
              <w:t>服务地点：广西壮族自治区江滨医院。</w:t>
            </w:r>
          </w:p>
          <w:p>
            <w:pPr>
              <w:spacing w:line="380" w:lineRule="exact"/>
              <w:rPr>
                <w:rFonts w:ascii="宋体" w:hAnsi="宋体" w:eastAsia="宋体" w:cs="宋体"/>
                <w:szCs w:val="21"/>
              </w:rPr>
            </w:pPr>
            <w:r>
              <w:rPr>
                <w:rFonts w:hint="eastAsia" w:ascii="宋体" w:hAnsi="宋体" w:eastAsia="宋体" w:cs="宋体"/>
                <w:kern w:val="0"/>
                <w:szCs w:val="21"/>
              </w:rPr>
              <w:t>维保服务期限及服务地点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35" w:type="dxa"/>
            <w:tcBorders>
              <w:left w:val="single" w:color="auto" w:sz="4" w:space="0"/>
              <w:bottom w:val="single" w:color="auto" w:sz="4" w:space="0"/>
              <w:right w:val="single" w:color="auto" w:sz="4" w:space="0"/>
            </w:tcBorders>
            <w:shd w:val="clear" w:color="auto" w:fill="auto"/>
            <w:vAlign w:val="center"/>
          </w:tcPr>
          <w:p>
            <w:pPr>
              <w:spacing w:line="380" w:lineRule="exact"/>
              <w:rPr>
                <w:rFonts w:ascii="宋体" w:hAnsi="宋体" w:eastAsia="宋体" w:cs="Times New Roman"/>
                <w:b/>
                <w:sz w:val="28"/>
                <w:szCs w:val="28"/>
              </w:rPr>
            </w:pPr>
            <w:r>
              <w:rPr>
                <w:rFonts w:hint="eastAsia" w:ascii="宋体" w:hAnsi="宋体" w:eastAsia="宋体" w:cs="宋体"/>
                <w:kern w:val="0"/>
                <w:szCs w:val="21"/>
              </w:rPr>
              <w:t>付款方式</w:t>
            </w:r>
          </w:p>
        </w:tc>
        <w:tc>
          <w:tcPr>
            <w:tcW w:w="9451" w:type="dxa"/>
            <w:gridSpan w:val="3"/>
            <w:tcBorders>
              <w:left w:val="single" w:color="auto" w:sz="4" w:space="0"/>
              <w:bottom w:val="single" w:color="auto" w:sz="4" w:space="0"/>
              <w:right w:val="single" w:color="auto" w:sz="4" w:space="0"/>
            </w:tcBorders>
            <w:shd w:val="clear" w:color="auto" w:fill="auto"/>
            <w:vAlign w:val="center"/>
          </w:tcPr>
          <w:p>
            <w:pPr>
              <w:spacing w:line="320" w:lineRule="exact"/>
              <w:rPr>
                <w:rFonts w:ascii="宋体" w:hAnsi="宋体" w:eastAsia="宋体" w:cs="Arial"/>
                <w:bCs/>
                <w:szCs w:val="21"/>
                <w:highlight w:val="yellow"/>
              </w:rPr>
            </w:pPr>
            <w:r>
              <w:rPr>
                <w:rFonts w:hint="eastAsia" w:ascii="宋体" w:hAnsi="宋体" w:eastAsia="宋体" w:cs="Arial"/>
                <w:bCs/>
                <w:szCs w:val="21"/>
                <w:highlight w:val="yellow"/>
              </w:rPr>
              <w:t>1、采购方按季度向成交服务商支付合同款。</w:t>
            </w:r>
          </w:p>
          <w:p>
            <w:pPr>
              <w:spacing w:line="320" w:lineRule="exact"/>
              <w:rPr>
                <w:rFonts w:ascii="宋体" w:hAnsi="宋体" w:eastAsia="宋体" w:cs="Arial"/>
                <w:bCs/>
                <w:szCs w:val="21"/>
                <w:highlight w:val="yellow"/>
              </w:rPr>
            </w:pPr>
            <w:r>
              <w:rPr>
                <w:rFonts w:hint="eastAsia" w:ascii="宋体" w:hAnsi="宋体" w:eastAsia="宋体" w:cs="Arial"/>
                <w:bCs/>
                <w:szCs w:val="21"/>
                <w:highlight w:val="yellow"/>
              </w:rPr>
              <w:t>2、付款方式：成交服务商每季度完成服务，采购方验收合格收到发票后30日向</w:t>
            </w:r>
            <w:r>
              <w:rPr>
                <w:rFonts w:hint="eastAsia" w:ascii="宋体" w:hAnsi="宋体" w:eastAsia="宋体" w:cs="Arial"/>
                <w:bCs/>
                <w:kern w:val="0"/>
                <w:szCs w:val="21"/>
                <w:highlight w:val="yellow"/>
              </w:rPr>
              <w:t>成交服务商</w:t>
            </w:r>
            <w:r>
              <w:rPr>
                <w:rFonts w:hint="eastAsia" w:ascii="宋体" w:hAnsi="宋体" w:eastAsia="宋体" w:cs="Arial"/>
                <w:bCs/>
                <w:szCs w:val="21"/>
                <w:highlight w:val="yellow"/>
              </w:rPr>
              <w:t>支付上一季度的服务费。</w:t>
            </w:r>
          </w:p>
          <w:p>
            <w:pPr>
              <w:spacing w:line="320" w:lineRule="exact"/>
              <w:rPr>
                <w:rFonts w:ascii="宋体" w:hAnsi="宋体" w:eastAsia="宋体" w:cs="Arial"/>
                <w:bCs/>
                <w:szCs w:val="21"/>
                <w:highlight w:val="yellow"/>
              </w:rPr>
            </w:pPr>
            <w:r>
              <w:rPr>
                <w:rFonts w:ascii="宋体" w:hAnsi="宋体" w:eastAsia="宋体" w:cs="Arial"/>
                <w:bCs/>
                <w:kern w:val="0"/>
                <w:szCs w:val="21"/>
                <w:highlight w:val="yellow"/>
              </w:rPr>
              <w:t>3</w:t>
            </w:r>
            <w:r>
              <w:rPr>
                <w:rFonts w:hint="eastAsia" w:ascii="宋体" w:hAnsi="宋体" w:eastAsia="宋体" w:cs="Arial"/>
                <w:bCs/>
                <w:kern w:val="0"/>
                <w:szCs w:val="21"/>
                <w:highlight w:val="yellow"/>
              </w:rPr>
              <w:t>、成交服务商</w:t>
            </w:r>
            <w:r>
              <w:rPr>
                <w:rFonts w:hint="eastAsia" w:ascii="宋体" w:hAnsi="宋体" w:eastAsia="宋体" w:cs="Arial"/>
                <w:bCs/>
                <w:szCs w:val="21"/>
                <w:highlight w:val="yellow"/>
              </w:rPr>
              <w:t>申请进度款时，需提交以下完整材料，材料不全的采购方可暂缓付款：</w:t>
            </w:r>
          </w:p>
          <w:p>
            <w:pPr>
              <w:spacing w:line="320" w:lineRule="exact"/>
              <w:rPr>
                <w:rFonts w:ascii="宋体" w:hAnsi="宋体" w:eastAsia="宋体" w:cs="Arial"/>
                <w:bCs/>
                <w:szCs w:val="21"/>
                <w:highlight w:val="yellow"/>
              </w:rPr>
            </w:pPr>
            <w:r>
              <w:rPr>
                <w:rFonts w:hint="eastAsia" w:ascii="宋体" w:hAnsi="宋体" w:eastAsia="宋体" w:cs="Arial"/>
                <w:bCs/>
                <w:szCs w:val="21"/>
                <w:highlight w:val="yellow"/>
              </w:rPr>
              <w:t>3</w:t>
            </w:r>
            <w:r>
              <w:rPr>
                <w:rFonts w:ascii="宋体" w:hAnsi="宋体" w:eastAsia="宋体" w:cs="Arial"/>
                <w:bCs/>
                <w:szCs w:val="21"/>
                <w:highlight w:val="yellow"/>
              </w:rPr>
              <w:t>.1</w:t>
            </w:r>
            <w:r>
              <w:rPr>
                <w:rFonts w:hint="eastAsia" w:ascii="宋体" w:hAnsi="宋体" w:eastAsia="宋体" w:cs="Arial"/>
                <w:bCs/>
                <w:szCs w:val="21"/>
                <w:highlight w:val="yellow"/>
              </w:rPr>
              <w:t>、当月各科室签字确认的《维修工作单》（需附维修前后对比照片）；</w:t>
            </w:r>
          </w:p>
          <w:p>
            <w:pPr>
              <w:spacing w:line="320" w:lineRule="exact"/>
              <w:rPr>
                <w:rFonts w:ascii="宋体" w:hAnsi="宋体" w:eastAsia="宋体" w:cs="Arial"/>
                <w:bCs/>
                <w:szCs w:val="21"/>
                <w:highlight w:val="yellow"/>
              </w:rPr>
            </w:pPr>
            <w:r>
              <w:rPr>
                <w:rFonts w:hint="eastAsia" w:ascii="宋体" w:hAnsi="宋体" w:eastAsia="宋体" w:cs="Arial"/>
                <w:bCs/>
                <w:szCs w:val="21"/>
                <w:highlight w:val="yellow"/>
              </w:rPr>
              <w:t>3</w:t>
            </w:r>
            <w:r>
              <w:rPr>
                <w:rFonts w:ascii="宋体" w:hAnsi="宋体" w:eastAsia="宋体" w:cs="Arial"/>
                <w:bCs/>
                <w:szCs w:val="21"/>
                <w:highlight w:val="yellow"/>
              </w:rPr>
              <w:t>.2</w:t>
            </w:r>
            <w:r>
              <w:rPr>
                <w:rFonts w:hint="eastAsia" w:ascii="宋体" w:hAnsi="宋体" w:eastAsia="宋体" w:cs="Arial"/>
                <w:bCs/>
                <w:szCs w:val="21"/>
                <w:highlight w:val="yellow"/>
              </w:rPr>
              <w:t>、《外包服务质量管理评审表》（附件 1）；</w:t>
            </w:r>
          </w:p>
          <w:p>
            <w:pPr>
              <w:spacing w:line="320" w:lineRule="exact"/>
              <w:rPr>
                <w:rFonts w:ascii="宋体" w:hAnsi="宋体" w:eastAsia="宋体" w:cs="Arial"/>
                <w:bCs/>
                <w:szCs w:val="21"/>
                <w:highlight w:val="yellow"/>
              </w:rPr>
            </w:pPr>
            <w:r>
              <w:rPr>
                <w:rFonts w:hint="eastAsia" w:ascii="宋体" w:hAnsi="宋体" w:eastAsia="宋体" w:cs="Arial"/>
                <w:bCs/>
                <w:szCs w:val="21"/>
                <w:highlight w:val="yellow"/>
              </w:rPr>
              <w:t>3</w:t>
            </w:r>
            <w:r>
              <w:rPr>
                <w:rFonts w:ascii="宋体" w:hAnsi="宋体" w:eastAsia="宋体" w:cs="Arial"/>
                <w:bCs/>
                <w:szCs w:val="21"/>
                <w:highlight w:val="yellow"/>
              </w:rPr>
              <w:t>.3</w:t>
            </w:r>
            <w:r>
              <w:rPr>
                <w:rFonts w:hint="eastAsia" w:ascii="宋体" w:hAnsi="宋体" w:eastAsia="宋体" w:cs="Arial"/>
                <w:bCs/>
                <w:szCs w:val="21"/>
                <w:highlight w:val="yellow"/>
              </w:rPr>
              <w:t>、《空调设备维保服务项目考核表》（附件 2）；</w:t>
            </w:r>
          </w:p>
          <w:p>
            <w:pPr>
              <w:spacing w:line="320" w:lineRule="exact"/>
              <w:rPr>
                <w:rFonts w:ascii="宋体" w:hAnsi="宋体" w:eastAsia="宋体" w:cs="Arial"/>
                <w:bCs/>
                <w:szCs w:val="21"/>
                <w:highlight w:val="yellow"/>
              </w:rPr>
            </w:pPr>
            <w:r>
              <w:rPr>
                <w:rFonts w:hint="eastAsia" w:ascii="宋体" w:hAnsi="宋体" w:eastAsia="宋体" w:cs="Arial"/>
                <w:bCs/>
                <w:szCs w:val="21"/>
                <w:highlight w:val="yellow"/>
              </w:rPr>
              <w:t>3</w:t>
            </w:r>
            <w:r>
              <w:rPr>
                <w:rFonts w:ascii="宋体" w:hAnsi="宋体" w:eastAsia="宋体" w:cs="Arial"/>
                <w:bCs/>
                <w:szCs w:val="21"/>
                <w:highlight w:val="yellow"/>
              </w:rPr>
              <w:t>.4</w:t>
            </w:r>
            <w:r>
              <w:rPr>
                <w:rFonts w:hint="eastAsia" w:ascii="宋体" w:hAnsi="宋体" w:eastAsia="宋体" w:cs="Arial"/>
                <w:bCs/>
                <w:szCs w:val="21"/>
                <w:highlight w:val="yellow"/>
              </w:rPr>
              <w:t>、当月《巡检记录报告》及其他约定需提交的报告。</w:t>
            </w:r>
          </w:p>
          <w:p>
            <w:pPr>
              <w:spacing w:line="320" w:lineRule="exact"/>
              <w:rPr>
                <w:rFonts w:ascii="宋体" w:hAnsi="宋体" w:eastAsia="宋体" w:cs="宋体"/>
                <w:szCs w:val="21"/>
                <w:highlight w:val="yellow"/>
              </w:rPr>
            </w:pPr>
            <w:r>
              <w:rPr>
                <w:rFonts w:hint="eastAsia" w:ascii="宋体" w:hAnsi="宋体" w:eastAsia="宋体" w:cs="Arial"/>
                <w:bCs/>
                <w:szCs w:val="21"/>
                <w:highlight w:val="yellow"/>
              </w:rPr>
              <w:t>3</w:t>
            </w:r>
            <w:r>
              <w:rPr>
                <w:rFonts w:hint="eastAsia" w:ascii="宋体" w:hAnsi="宋体" w:eastAsia="宋体" w:cs="Arial"/>
                <w:bCs/>
                <w:color w:val="FF0000"/>
                <w:szCs w:val="21"/>
                <w:highlight w:val="yellow"/>
              </w:rPr>
              <w:t>.</w:t>
            </w:r>
            <w:r>
              <w:rPr>
                <w:rFonts w:ascii="宋体" w:hAnsi="宋体" w:eastAsia="宋体" w:cs="Arial"/>
                <w:bCs/>
                <w:color w:val="FF0000"/>
                <w:szCs w:val="21"/>
                <w:highlight w:val="yellow"/>
              </w:rPr>
              <w:t>5</w:t>
            </w:r>
            <w:r>
              <w:rPr>
                <w:rFonts w:hint="eastAsia" w:ascii="宋体" w:hAnsi="宋体" w:eastAsia="宋体" w:cs="Arial"/>
                <w:bCs/>
                <w:color w:val="FF0000"/>
                <w:szCs w:val="21"/>
                <w:highlight w:val="yellow"/>
              </w:rPr>
              <w:t>、每月</w:t>
            </w:r>
            <w:r>
              <w:rPr>
                <w:rFonts w:hint="eastAsia" w:ascii="宋体" w:hAnsi="宋体" w:eastAsia="宋体" w:cs="Times New Roman"/>
                <w:bCs/>
                <w:color w:val="FF0000"/>
                <w:szCs w:val="21"/>
                <w:highlight w:val="yellow"/>
              </w:rPr>
              <w:t>各中央空调系统（至少包含主机、水泵、冷却塔设备）的耗电量相对于2</w:t>
            </w:r>
            <w:r>
              <w:rPr>
                <w:rFonts w:ascii="宋体" w:hAnsi="宋体" w:eastAsia="宋体" w:cs="Times New Roman"/>
                <w:bCs/>
                <w:color w:val="FF0000"/>
                <w:szCs w:val="21"/>
                <w:highlight w:val="yellow"/>
              </w:rPr>
              <w:t>024</w:t>
            </w:r>
            <w:r>
              <w:rPr>
                <w:rFonts w:hint="eastAsia" w:ascii="宋体" w:hAnsi="宋体" w:eastAsia="宋体" w:cs="Times New Roman"/>
                <w:bCs/>
                <w:color w:val="FF0000"/>
                <w:szCs w:val="21"/>
                <w:highlight w:val="yellow"/>
              </w:rPr>
              <w:t>年，要求小于或等于9</w:t>
            </w:r>
            <w:r>
              <w:rPr>
                <w:rFonts w:ascii="宋体" w:hAnsi="宋体" w:eastAsia="宋体" w:cs="Times New Roman"/>
                <w:bCs/>
                <w:color w:val="FF0000"/>
                <w:szCs w:val="21"/>
                <w:highlight w:val="yellow"/>
              </w:rPr>
              <w:t>5</w:t>
            </w:r>
            <w:r>
              <w:rPr>
                <w:rFonts w:hint="eastAsia" w:ascii="宋体" w:hAnsi="宋体" w:eastAsia="宋体" w:cs="Times New Roman"/>
                <w:bCs/>
                <w:color w:val="FF0000"/>
                <w:szCs w:val="21"/>
                <w:highlight w:val="yellow"/>
              </w:rPr>
              <w:t>%分析对比报告</w:t>
            </w:r>
            <w:r>
              <w:rPr>
                <w:rFonts w:hint="eastAsia" w:ascii="宋体" w:hAnsi="宋体" w:eastAsia="宋体" w:cs="Arial"/>
                <w:bCs/>
                <w:color w:val="FF0000"/>
                <w:szCs w:val="21"/>
                <w:highlight w:val="yellow"/>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35" w:type="dxa"/>
            <w:tcBorders>
              <w:left w:val="single" w:color="auto" w:sz="4" w:space="0"/>
              <w:bottom w:val="single" w:color="auto" w:sz="4" w:space="0"/>
              <w:right w:val="single" w:color="auto" w:sz="4" w:space="0"/>
            </w:tcBorders>
            <w:shd w:val="clear" w:color="auto" w:fill="auto"/>
            <w:vAlign w:val="center"/>
          </w:tcPr>
          <w:p>
            <w:pPr>
              <w:spacing w:line="380" w:lineRule="exact"/>
              <w:rPr>
                <w:rFonts w:ascii="宋体" w:hAnsi="宋体" w:eastAsia="宋体" w:cs="Times New Roman"/>
                <w:b/>
                <w:sz w:val="28"/>
                <w:szCs w:val="28"/>
              </w:rPr>
            </w:pPr>
            <w:r>
              <w:rPr>
                <w:rFonts w:hint="eastAsia" w:ascii="宋体" w:hAnsi="宋体" w:eastAsia="宋体" w:cs="Times New Roman"/>
                <w:szCs w:val="21"/>
              </w:rPr>
              <w:t>服务要求</w:t>
            </w:r>
          </w:p>
        </w:tc>
        <w:tc>
          <w:tcPr>
            <w:tcW w:w="9451" w:type="dxa"/>
            <w:gridSpan w:val="3"/>
            <w:tcBorders>
              <w:left w:val="single" w:color="auto" w:sz="4" w:space="0"/>
              <w:bottom w:val="single" w:color="auto" w:sz="4" w:space="0"/>
              <w:right w:val="single" w:color="auto" w:sz="4" w:space="0"/>
            </w:tcBorders>
            <w:shd w:val="clear" w:color="auto" w:fill="auto"/>
            <w:vAlign w:val="center"/>
          </w:tcPr>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1、</w:t>
            </w:r>
            <w:r>
              <w:rPr>
                <w:rFonts w:hint="eastAsia" w:ascii="宋体" w:hAnsi="宋体" w:eastAsia="宋体" w:cs="宋体"/>
                <w:kern w:val="0"/>
                <w:szCs w:val="21"/>
                <w:highlight w:val="yellow"/>
              </w:rPr>
              <w:t>供应商</w:t>
            </w:r>
            <w:r>
              <w:rPr>
                <w:rFonts w:hint="eastAsia" w:ascii="宋体" w:hAnsi="宋体" w:eastAsia="宋体" w:cs="Times New Roman"/>
                <w:szCs w:val="21"/>
                <w:highlight w:val="yellow"/>
              </w:rPr>
              <w:t>应在南宁市设有长期稳定的服务机构（提供地址、联系人、联系方式、监督服务电话信息）；</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2、备件保障：</w:t>
            </w:r>
            <w:r>
              <w:rPr>
                <w:rFonts w:hint="eastAsia" w:ascii="宋体" w:hAnsi="宋体" w:eastAsia="宋体" w:cs="宋体"/>
                <w:kern w:val="0"/>
                <w:szCs w:val="21"/>
                <w:highlight w:val="yellow"/>
              </w:rPr>
              <w:t>成交供应商</w:t>
            </w:r>
            <w:r>
              <w:rPr>
                <w:rFonts w:hint="eastAsia" w:ascii="宋体" w:hAnsi="宋体" w:eastAsia="宋体" w:cs="Times New Roman"/>
                <w:szCs w:val="21"/>
                <w:highlight w:val="yellow"/>
              </w:rPr>
              <w:t>有自己的配件库，服务渠道畅通（每周七天，每天24小时，不分节假日），确保30分钟内到达现场处理。</w:t>
            </w:r>
            <w:r>
              <w:rPr>
                <w:rFonts w:hint="eastAsia" w:ascii="宋体" w:hAnsi="宋体" w:eastAsia="宋体" w:cs="宋体"/>
                <w:kern w:val="0"/>
                <w:szCs w:val="21"/>
                <w:highlight w:val="yellow"/>
              </w:rPr>
              <w:t>成交供应商</w:t>
            </w:r>
            <w:r>
              <w:rPr>
                <w:rFonts w:hint="eastAsia" w:ascii="宋体" w:hAnsi="宋体" w:eastAsia="宋体" w:cs="Times New Roman"/>
                <w:szCs w:val="21"/>
                <w:highlight w:val="yellow"/>
              </w:rPr>
              <w:t>保证更换配件为全新原厂配件。</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3、报修响应与服务时效要求</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3</w:t>
            </w:r>
            <w:r>
              <w:rPr>
                <w:rFonts w:ascii="宋体" w:hAnsi="宋体" w:eastAsia="宋体" w:cs="Times New Roman"/>
                <w:szCs w:val="21"/>
                <w:highlight w:val="yellow"/>
              </w:rPr>
              <w:t>.</w:t>
            </w:r>
            <w:r>
              <w:rPr>
                <w:rFonts w:hint="eastAsia" w:ascii="宋体" w:hAnsi="宋体" w:eastAsia="宋体" w:cs="Times New Roman"/>
                <w:szCs w:val="21"/>
                <w:highlight w:val="yellow"/>
              </w:rPr>
              <w:t>1、报修渠道与响应时效：供应商需配合医院建立 “维保报修专项群”，实时承接各科室报修需求，报修响应及处理闭环不得超过 24 小时；超出时限未处理的，每次处罚 500 元。</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3</w:t>
            </w:r>
            <w:r>
              <w:rPr>
                <w:rFonts w:ascii="宋体" w:hAnsi="宋体" w:eastAsia="宋体" w:cs="Times New Roman"/>
                <w:szCs w:val="21"/>
                <w:highlight w:val="yellow"/>
              </w:rPr>
              <w:t>.</w:t>
            </w:r>
            <w:r>
              <w:rPr>
                <w:rFonts w:hint="eastAsia" w:ascii="宋体" w:hAnsi="宋体" w:eastAsia="宋体" w:cs="Times New Roman"/>
                <w:szCs w:val="21"/>
                <w:highlight w:val="yellow"/>
              </w:rPr>
              <w:t>2、紧急支持保障</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（1）提供 7×</w:t>
            </w:r>
            <w:r>
              <w:rPr>
                <w:rFonts w:ascii="宋体" w:hAnsi="宋体" w:eastAsia="宋体" w:cs="Times New Roman"/>
                <w:szCs w:val="21"/>
                <w:highlight w:val="yellow"/>
              </w:rPr>
              <w:t>24</w:t>
            </w:r>
            <w:r>
              <w:rPr>
                <w:rFonts w:hint="eastAsia" w:ascii="宋体" w:hAnsi="宋体" w:eastAsia="宋体" w:cs="Times New Roman"/>
                <w:szCs w:val="21"/>
                <w:highlight w:val="yellow"/>
              </w:rPr>
              <w:t xml:space="preserve">小时电话技术支持热线，接到医院报后，技术人员须在 </w:t>
            </w:r>
            <w:r>
              <w:rPr>
                <w:rFonts w:ascii="宋体" w:hAnsi="宋体" w:eastAsia="宋体" w:cs="Times New Roman"/>
                <w:szCs w:val="21"/>
                <w:highlight w:val="yellow"/>
              </w:rPr>
              <w:t>15</w:t>
            </w:r>
            <w:r>
              <w:rPr>
                <w:rFonts w:hint="eastAsia" w:ascii="宋体" w:hAnsi="宋体" w:eastAsia="宋体" w:cs="Times New Roman"/>
                <w:szCs w:val="21"/>
                <w:highlight w:val="yellow"/>
              </w:rPr>
              <w:t>分钟内抵达现场。</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（2）具备远程协助应急处理能力，可通过远程技术手段快速解决空调及控制系统常见故障，减少现场处理延误。</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3</w:t>
            </w:r>
            <w:r>
              <w:rPr>
                <w:rFonts w:ascii="宋体" w:hAnsi="宋体" w:eastAsia="宋体" w:cs="Times New Roman"/>
                <w:szCs w:val="21"/>
                <w:highlight w:val="yellow"/>
              </w:rPr>
              <w:t>.</w:t>
            </w:r>
            <w:r>
              <w:rPr>
                <w:rFonts w:hint="eastAsia" w:ascii="宋体" w:hAnsi="宋体" w:eastAsia="宋体" w:cs="Times New Roman"/>
                <w:szCs w:val="21"/>
                <w:highlight w:val="yellow"/>
              </w:rPr>
              <w:t>3、故障上报机制：若遇无法现场维修的故障，需在征得医院同意后，方可将设备返厂维修；若维修周期超出预期，须在 0.5 小时内主动向使用科室护士长及后勤办说明原因，未按时上报的按相关考核标准处理。</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3.4、每月定期提供满意度测评，确保无投诉，标文件中提供有效的顾客满意度测评服务认证。</w:t>
            </w:r>
          </w:p>
          <w:p>
            <w:pPr>
              <w:spacing w:line="320" w:lineRule="exact"/>
              <w:rPr>
                <w:rFonts w:ascii="宋体" w:hAnsi="宋体" w:eastAsia="宋体" w:cs="Times New Roman"/>
                <w:szCs w:val="21"/>
                <w:highlight w:val="yellow"/>
              </w:rPr>
            </w:pPr>
            <w:r>
              <w:rPr>
                <w:rFonts w:ascii="宋体" w:hAnsi="宋体" w:eastAsia="宋体" w:cs="Times New Roman"/>
                <w:szCs w:val="21"/>
                <w:highlight w:val="yellow"/>
              </w:rPr>
              <w:t>4</w:t>
            </w:r>
            <w:r>
              <w:rPr>
                <w:rFonts w:hint="eastAsia" w:ascii="宋体" w:hAnsi="宋体" w:eastAsia="宋体" w:cs="Times New Roman"/>
                <w:szCs w:val="21"/>
                <w:highlight w:val="yellow"/>
              </w:rPr>
              <w:t>、报告提交要求</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供应商需按以下频次向医院提交专业报告，报告内容需数据真实、分析详实，经医院审核确认后作为服务评价依据：</w:t>
            </w:r>
          </w:p>
          <w:p>
            <w:pPr>
              <w:spacing w:line="320" w:lineRule="exact"/>
              <w:rPr>
                <w:rFonts w:ascii="宋体" w:hAnsi="宋体" w:eastAsia="宋体" w:cs="Times New Roman"/>
                <w:szCs w:val="21"/>
                <w:highlight w:val="yellow"/>
              </w:rPr>
            </w:pPr>
          </w:p>
          <w:tbl>
            <w:tblPr>
              <w:tblStyle w:val="9"/>
              <w:tblW w:w="5000" w:type="pct"/>
              <w:tblInd w:w="0" w:type="dxa"/>
              <w:tblLayout w:type="fixed"/>
              <w:tblCellMar>
                <w:top w:w="0" w:type="dxa"/>
                <w:left w:w="108" w:type="dxa"/>
                <w:bottom w:w="0" w:type="dxa"/>
                <w:right w:w="108" w:type="dxa"/>
              </w:tblCellMar>
            </w:tblPr>
            <w:tblGrid>
              <w:gridCol w:w="2711"/>
              <w:gridCol w:w="2043"/>
              <w:gridCol w:w="4481"/>
            </w:tblGrid>
            <w:tr>
              <w:tblPrEx>
                <w:tblCellMar>
                  <w:top w:w="0" w:type="dxa"/>
                  <w:left w:w="108" w:type="dxa"/>
                  <w:bottom w:w="0" w:type="dxa"/>
                  <w:right w:w="108" w:type="dxa"/>
                </w:tblCellMar>
              </w:tblPrEx>
              <w:trPr>
                <w:trHeight w:val="285" w:hRule="atLeast"/>
              </w:trPr>
              <w:tc>
                <w:tcPr>
                  <w:tcW w:w="14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Times New Roman"/>
                      <w:szCs w:val="21"/>
                      <w:highlight w:val="yellow"/>
                    </w:rPr>
                  </w:pPr>
                  <w:r>
                    <w:rPr>
                      <w:rFonts w:hint="eastAsia" w:ascii="宋体" w:hAnsi="宋体" w:eastAsia="宋体" w:cs="Times New Roman"/>
                      <w:szCs w:val="21"/>
                      <w:highlight w:val="yellow"/>
                    </w:rPr>
                    <w:t>报告名称</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Times New Roman"/>
                      <w:szCs w:val="21"/>
                      <w:highlight w:val="yellow"/>
                    </w:rPr>
                  </w:pPr>
                  <w:r>
                    <w:rPr>
                      <w:rFonts w:hint="eastAsia" w:ascii="宋体" w:hAnsi="宋体" w:eastAsia="宋体" w:cs="Times New Roman"/>
                      <w:szCs w:val="21"/>
                      <w:highlight w:val="yellow"/>
                    </w:rPr>
                    <w:t>提交频次</w:t>
                  </w:r>
                </w:p>
              </w:tc>
              <w:tc>
                <w:tcPr>
                  <w:tcW w:w="242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Times New Roman"/>
                      <w:szCs w:val="21"/>
                      <w:highlight w:val="yellow"/>
                    </w:rPr>
                  </w:pPr>
                  <w:r>
                    <w:rPr>
                      <w:rFonts w:hint="eastAsia" w:ascii="宋体" w:hAnsi="宋体" w:eastAsia="宋体" w:cs="Times New Roman"/>
                      <w:szCs w:val="21"/>
                      <w:highlight w:val="yellow"/>
                    </w:rPr>
                    <w:t>核心内容要求</w:t>
                  </w:r>
                </w:p>
              </w:tc>
            </w:tr>
            <w:tr>
              <w:tblPrEx>
                <w:tblCellMar>
                  <w:top w:w="0" w:type="dxa"/>
                  <w:left w:w="108" w:type="dxa"/>
                  <w:bottom w:w="0" w:type="dxa"/>
                  <w:right w:w="108" w:type="dxa"/>
                </w:tblCellMar>
              </w:tblPrEx>
              <w:trPr>
                <w:trHeight w:val="595" w:hRule="atLeast"/>
              </w:trPr>
              <w:tc>
                <w:tcPr>
                  <w:tcW w:w="14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Times New Roman"/>
                      <w:szCs w:val="21"/>
                      <w:highlight w:val="yellow"/>
                    </w:rPr>
                  </w:pPr>
                  <w:r>
                    <w:rPr>
                      <w:rFonts w:hint="eastAsia" w:ascii="宋体" w:hAnsi="宋体" w:eastAsia="宋体" w:cs="Times New Roman"/>
                      <w:szCs w:val="21"/>
                      <w:highlight w:val="yellow"/>
                    </w:rPr>
                    <w:t>《中央空调系统月度维护情况报告》</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Times New Roman"/>
                      <w:szCs w:val="21"/>
                      <w:highlight w:val="yellow"/>
                    </w:rPr>
                  </w:pPr>
                  <w:r>
                    <w:rPr>
                      <w:rFonts w:hint="eastAsia" w:ascii="宋体" w:hAnsi="宋体" w:eastAsia="宋体" w:cs="Times New Roman"/>
                      <w:szCs w:val="21"/>
                      <w:highlight w:val="yellow"/>
                    </w:rPr>
                    <w:t>次月1</w:t>
                  </w:r>
                  <w:r>
                    <w:rPr>
                      <w:rFonts w:ascii="宋体" w:hAnsi="宋体" w:eastAsia="宋体" w:cs="Times New Roman"/>
                      <w:szCs w:val="21"/>
                      <w:highlight w:val="yellow"/>
                    </w:rPr>
                    <w:t>0</w:t>
                  </w:r>
                  <w:r>
                    <w:rPr>
                      <w:rFonts w:hint="eastAsia" w:ascii="宋体" w:hAnsi="宋体" w:eastAsia="宋体" w:cs="Times New Roman"/>
                      <w:szCs w:val="21"/>
                      <w:highlight w:val="yellow"/>
                    </w:rPr>
                    <w:t>日前</w:t>
                  </w:r>
                </w:p>
              </w:tc>
              <w:tc>
                <w:tcPr>
                  <w:tcW w:w="242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Times New Roman"/>
                      <w:szCs w:val="21"/>
                      <w:highlight w:val="yellow"/>
                    </w:rPr>
                  </w:pPr>
                  <w:r>
                    <w:rPr>
                      <w:rFonts w:hint="eastAsia" w:ascii="宋体" w:hAnsi="宋体" w:eastAsia="宋体" w:cs="Times New Roman"/>
                      <w:szCs w:val="21"/>
                      <w:highlight w:val="yellow"/>
                    </w:rPr>
                    <w:t>涵盖当月巡检情况、故障处理记录、设备运行状态、下月维护计划等</w:t>
                  </w:r>
                </w:p>
              </w:tc>
            </w:tr>
            <w:tr>
              <w:tblPrEx>
                <w:tblCellMar>
                  <w:top w:w="0" w:type="dxa"/>
                  <w:left w:w="108" w:type="dxa"/>
                  <w:bottom w:w="0" w:type="dxa"/>
                  <w:right w:w="108" w:type="dxa"/>
                </w:tblCellMar>
              </w:tblPrEx>
              <w:trPr>
                <w:trHeight w:val="650" w:hRule="atLeast"/>
              </w:trPr>
              <w:tc>
                <w:tcPr>
                  <w:tcW w:w="14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Times New Roman"/>
                      <w:szCs w:val="21"/>
                      <w:highlight w:val="yellow"/>
                    </w:rPr>
                  </w:pPr>
                  <w:r>
                    <w:rPr>
                      <w:rFonts w:hint="eastAsia" w:ascii="宋体" w:hAnsi="宋体" w:eastAsia="宋体" w:cs="Times New Roman"/>
                      <w:szCs w:val="21"/>
                      <w:highlight w:val="yellow"/>
                    </w:rPr>
                    <w:t>《各系统季度能源分析报告》</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Times New Roman"/>
                      <w:szCs w:val="21"/>
                      <w:highlight w:val="yellow"/>
                    </w:rPr>
                  </w:pPr>
                  <w:r>
                    <w:rPr>
                      <w:rFonts w:hint="eastAsia" w:ascii="宋体" w:hAnsi="宋体" w:eastAsia="宋体" w:cs="Times New Roman"/>
                      <w:szCs w:val="21"/>
                      <w:highlight w:val="yellow"/>
                    </w:rPr>
                    <w:t>每季度末前</w:t>
                  </w:r>
                </w:p>
              </w:tc>
              <w:tc>
                <w:tcPr>
                  <w:tcW w:w="242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Times New Roman"/>
                      <w:szCs w:val="21"/>
                      <w:highlight w:val="yellow"/>
                    </w:rPr>
                  </w:pPr>
                  <w:r>
                    <w:rPr>
                      <w:rFonts w:hint="eastAsia" w:ascii="宋体" w:hAnsi="宋体" w:eastAsia="宋体" w:cs="Times New Roman"/>
                      <w:szCs w:val="21"/>
                      <w:highlight w:val="yellow"/>
                    </w:rPr>
                    <w:t>分析季度内各系统用电量、能耗变化趋势、节能措施实施效果</w:t>
                  </w:r>
                </w:p>
              </w:tc>
            </w:tr>
            <w:tr>
              <w:tblPrEx>
                <w:tblCellMar>
                  <w:top w:w="0" w:type="dxa"/>
                  <w:left w:w="108" w:type="dxa"/>
                  <w:bottom w:w="0" w:type="dxa"/>
                  <w:right w:w="108" w:type="dxa"/>
                </w:tblCellMar>
              </w:tblPrEx>
              <w:trPr>
                <w:trHeight w:val="692" w:hRule="atLeast"/>
              </w:trPr>
              <w:tc>
                <w:tcPr>
                  <w:tcW w:w="14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Times New Roman"/>
                      <w:szCs w:val="21"/>
                      <w:highlight w:val="yellow"/>
                    </w:rPr>
                  </w:pPr>
                  <w:r>
                    <w:rPr>
                      <w:rFonts w:hint="eastAsia" w:ascii="宋体" w:hAnsi="宋体" w:eastAsia="宋体" w:cs="Times New Roman"/>
                      <w:szCs w:val="21"/>
                      <w:highlight w:val="yellow"/>
                    </w:rPr>
                    <w:t>《中央空调系统年度能源分析报告》</w:t>
                  </w:r>
                </w:p>
              </w:tc>
              <w:tc>
                <w:tcPr>
                  <w:tcW w:w="11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Times New Roman"/>
                      <w:szCs w:val="21"/>
                      <w:highlight w:val="yellow"/>
                    </w:rPr>
                  </w:pPr>
                  <w:r>
                    <w:rPr>
                      <w:rFonts w:hint="eastAsia" w:ascii="宋体" w:hAnsi="宋体" w:eastAsia="宋体" w:cs="Times New Roman"/>
                      <w:szCs w:val="21"/>
                      <w:highlight w:val="yellow"/>
                    </w:rPr>
                    <w:t>每年 12 月底前</w:t>
                  </w:r>
                </w:p>
              </w:tc>
              <w:tc>
                <w:tcPr>
                  <w:tcW w:w="242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Times New Roman"/>
                      <w:szCs w:val="21"/>
                      <w:highlight w:val="yellow"/>
                    </w:rPr>
                  </w:pPr>
                  <w:r>
                    <w:rPr>
                      <w:rFonts w:hint="eastAsia" w:ascii="宋体" w:hAnsi="宋体" w:eastAsia="宋体" w:cs="Times New Roman"/>
                      <w:szCs w:val="21"/>
                      <w:highlight w:val="yellow"/>
                    </w:rPr>
                    <w:t>总结年度能耗数据、节能目标达成情况，提出下一年度节能优化建议</w:t>
                  </w:r>
                </w:p>
              </w:tc>
            </w:tr>
          </w:tbl>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5、服务考核与监督机制</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5</w:t>
            </w:r>
            <w:r>
              <w:rPr>
                <w:rFonts w:ascii="宋体" w:hAnsi="宋体" w:eastAsia="宋体" w:cs="Times New Roman"/>
                <w:szCs w:val="21"/>
                <w:highlight w:val="yellow"/>
              </w:rPr>
              <w:t>.1</w:t>
            </w:r>
            <w:r>
              <w:rPr>
                <w:rFonts w:hint="eastAsia" w:ascii="宋体" w:hAnsi="宋体" w:eastAsia="宋体" w:cs="Times New Roman"/>
                <w:szCs w:val="21"/>
                <w:highlight w:val="yellow"/>
              </w:rPr>
              <w:t>、考核组织与标准</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由医院后勤办作为考核主体，每月依据《</w:t>
            </w:r>
            <w:r>
              <w:rPr>
                <w:rFonts w:hint="eastAsia" w:ascii="宋体" w:hAnsi="宋体" w:eastAsia="宋体" w:cs="Arial"/>
                <w:bCs/>
                <w:szCs w:val="21"/>
                <w:highlight w:val="yellow"/>
              </w:rPr>
              <w:t>空调设备维保服务项目考核表</w:t>
            </w:r>
            <w:r>
              <w:rPr>
                <w:rFonts w:hint="eastAsia" w:ascii="宋体" w:hAnsi="宋体" w:eastAsia="宋体" w:cs="Times New Roman"/>
                <w:szCs w:val="21"/>
                <w:highlight w:val="yellow"/>
              </w:rPr>
              <w:t>》（附件 2）对当月运维服务进行考核，考核需明确处罚原因（含具体时间、涉及人员、事件经过），确保考核公平可追溯。</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5</w:t>
            </w:r>
            <w:r>
              <w:rPr>
                <w:rFonts w:ascii="宋体" w:hAnsi="宋体" w:eastAsia="宋体" w:cs="Times New Roman"/>
                <w:szCs w:val="21"/>
                <w:highlight w:val="yellow"/>
              </w:rPr>
              <w:t>.2</w:t>
            </w:r>
            <w:r>
              <w:rPr>
                <w:rFonts w:hint="eastAsia" w:ascii="宋体" w:hAnsi="宋体" w:eastAsia="宋体" w:cs="Times New Roman"/>
                <w:szCs w:val="21"/>
                <w:highlight w:val="yellow"/>
              </w:rPr>
              <w:t>、投诉处理与处罚</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（1）医院医务人员、患者及家属可通过后勤信息管理平台、报修群、QQ 群、电话等渠道向后勤办投诉；后勤办需对每起投诉进行核实，确认属于供应商责任的，按“</w:t>
            </w:r>
            <w:r>
              <w:rPr>
                <w:rFonts w:hint="eastAsia" w:ascii="宋体" w:hAnsi="宋体" w:eastAsia="宋体" w:cs="Times New Roman"/>
                <w:color w:val="FF0000"/>
                <w:szCs w:val="21"/>
                <w:highlight w:val="yellow"/>
              </w:rPr>
              <w:t xml:space="preserve">200 </w:t>
            </w:r>
            <w:r>
              <w:rPr>
                <w:rFonts w:hint="eastAsia" w:ascii="宋体" w:hAnsi="宋体" w:eastAsia="宋体" w:cs="Times New Roman"/>
                <w:szCs w:val="21"/>
                <w:highlight w:val="yellow"/>
              </w:rPr>
              <w:t>元</w:t>
            </w:r>
            <w:r>
              <w:rPr>
                <w:rFonts w:ascii="宋体" w:hAnsi="宋体" w:eastAsia="宋体" w:cs="Times New Roman"/>
                <w:szCs w:val="21"/>
                <w:highlight w:val="yellow"/>
              </w:rPr>
              <w:t>/</w:t>
            </w:r>
            <w:r>
              <w:rPr>
                <w:rFonts w:hint="eastAsia" w:ascii="宋体" w:hAnsi="宋体" w:eastAsia="宋体" w:cs="Times New Roman"/>
                <w:szCs w:val="21"/>
                <w:highlight w:val="yellow"/>
              </w:rPr>
              <w:t>次有效投诉”处罚，月底汇总计入当月考核。</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（2）若投诉涉及供应商人员与患者发生言语</w:t>
            </w:r>
            <w:r>
              <w:rPr>
                <w:rFonts w:ascii="宋体" w:hAnsi="宋体" w:eastAsia="宋体" w:cs="Times New Roman"/>
                <w:szCs w:val="21"/>
                <w:highlight w:val="yellow"/>
              </w:rPr>
              <w:t>/</w:t>
            </w:r>
            <w:r>
              <w:rPr>
                <w:rFonts w:hint="eastAsia" w:ascii="宋体" w:hAnsi="宋体" w:eastAsia="宋体" w:cs="Times New Roman"/>
                <w:szCs w:val="21"/>
                <w:highlight w:val="yellow"/>
              </w:rPr>
              <w:t xml:space="preserve">肢体冲突、打架斗殴等严重行为，除按 </w:t>
            </w:r>
            <w:r>
              <w:rPr>
                <w:rFonts w:hint="eastAsia" w:ascii="宋体" w:hAnsi="宋体" w:eastAsia="宋体" w:cs="Times New Roman"/>
                <w:color w:val="FF0000"/>
                <w:szCs w:val="21"/>
                <w:highlight w:val="yellow"/>
              </w:rPr>
              <w:t xml:space="preserve">200 </w:t>
            </w:r>
            <w:r>
              <w:rPr>
                <w:rFonts w:hint="eastAsia" w:ascii="宋体" w:hAnsi="宋体" w:eastAsia="宋体" w:cs="Times New Roman"/>
                <w:szCs w:val="21"/>
                <w:highlight w:val="yellow"/>
              </w:rPr>
              <w:t>元</w:t>
            </w:r>
            <w:r>
              <w:rPr>
                <w:rFonts w:ascii="宋体" w:hAnsi="宋体" w:eastAsia="宋体" w:cs="Times New Roman"/>
                <w:szCs w:val="21"/>
                <w:highlight w:val="yellow"/>
              </w:rPr>
              <w:t>/</w:t>
            </w:r>
            <w:r>
              <w:rPr>
                <w:rFonts w:hint="eastAsia" w:ascii="宋体" w:hAnsi="宋体" w:eastAsia="宋体" w:cs="Times New Roman"/>
                <w:szCs w:val="21"/>
                <w:highlight w:val="yellow"/>
              </w:rPr>
              <w:t>次处罚外，额外按1000 元</w:t>
            </w:r>
            <w:r>
              <w:rPr>
                <w:rFonts w:ascii="宋体" w:hAnsi="宋体" w:eastAsia="宋体" w:cs="Times New Roman"/>
                <w:szCs w:val="21"/>
                <w:highlight w:val="yellow"/>
              </w:rPr>
              <w:t>/</w:t>
            </w:r>
            <w:r>
              <w:rPr>
                <w:rFonts w:hint="eastAsia" w:ascii="宋体" w:hAnsi="宋体" w:eastAsia="宋体" w:cs="Times New Roman"/>
                <w:szCs w:val="21"/>
                <w:highlight w:val="yellow"/>
              </w:rPr>
              <w:t>人</w:t>
            </w:r>
            <w:r>
              <w:rPr>
                <w:rFonts w:ascii="宋体" w:hAnsi="宋体" w:eastAsia="宋体" w:cs="Times New Roman"/>
                <w:szCs w:val="21"/>
                <w:highlight w:val="yellow"/>
              </w:rPr>
              <w:t>/</w:t>
            </w:r>
            <w:r>
              <w:rPr>
                <w:rFonts w:hint="eastAsia" w:ascii="宋体" w:hAnsi="宋体" w:eastAsia="宋体" w:cs="Times New Roman"/>
                <w:szCs w:val="21"/>
                <w:highlight w:val="yellow"/>
              </w:rPr>
              <w:t>次加重处罚，并要求供应商更换涉事人员。</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5</w:t>
            </w:r>
            <w:r>
              <w:rPr>
                <w:rFonts w:ascii="宋体" w:hAnsi="宋体" w:eastAsia="宋体" w:cs="Times New Roman"/>
                <w:szCs w:val="21"/>
                <w:highlight w:val="yellow"/>
              </w:rPr>
              <w:t>.3</w:t>
            </w:r>
            <w:r>
              <w:rPr>
                <w:rFonts w:hint="eastAsia" w:ascii="宋体" w:hAnsi="宋体" w:eastAsia="宋体" w:cs="Times New Roman"/>
                <w:szCs w:val="21"/>
                <w:highlight w:val="yellow"/>
              </w:rPr>
              <w:t>、满意度调查与结果应用</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（1）后勤办每月随机选取10%的科室或病区，结合《外包服务质量管理评审表》（附件1）开展服务满意度调查；调查结果按以下标准处理：</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1）综合满意度≥90%：不处罚；</w:t>
            </w:r>
          </w:p>
          <w:p>
            <w:pPr>
              <w:spacing w:line="320" w:lineRule="exact"/>
              <w:rPr>
                <w:rFonts w:ascii="宋体" w:hAnsi="宋体" w:eastAsia="宋体" w:cs="Times New Roman"/>
                <w:szCs w:val="21"/>
                <w:highlight w:val="yellow"/>
              </w:rPr>
            </w:pPr>
            <w:r>
              <w:rPr>
                <w:rFonts w:ascii="宋体" w:hAnsi="宋体" w:eastAsia="宋体" w:cs="Times New Roman"/>
                <w:szCs w:val="21"/>
                <w:highlight w:val="yellow"/>
              </w:rPr>
              <w:t>2</w:t>
            </w:r>
            <w:r>
              <w:rPr>
                <w:rFonts w:hint="eastAsia" w:ascii="宋体" w:hAnsi="宋体" w:eastAsia="宋体" w:cs="Times New Roman"/>
                <w:szCs w:val="21"/>
                <w:highlight w:val="yellow"/>
              </w:rPr>
              <w:t>）80%≤综合满意度＜90%：每下降 1% 罚款 100 元；</w:t>
            </w:r>
          </w:p>
          <w:p>
            <w:pPr>
              <w:spacing w:line="320" w:lineRule="exact"/>
              <w:rPr>
                <w:rFonts w:ascii="宋体" w:hAnsi="宋体" w:eastAsia="宋体" w:cs="Times New Roman"/>
                <w:szCs w:val="21"/>
                <w:highlight w:val="yellow"/>
              </w:rPr>
            </w:pPr>
            <w:r>
              <w:rPr>
                <w:rFonts w:ascii="宋体" w:hAnsi="宋体" w:eastAsia="宋体" w:cs="Times New Roman"/>
                <w:szCs w:val="21"/>
                <w:highlight w:val="yellow"/>
              </w:rPr>
              <w:t>3</w:t>
            </w:r>
            <w:r>
              <w:rPr>
                <w:rFonts w:hint="eastAsia" w:ascii="宋体" w:hAnsi="宋体" w:eastAsia="宋体" w:cs="Times New Roman"/>
                <w:szCs w:val="21"/>
                <w:highlight w:val="yellow"/>
              </w:rPr>
              <w:t>）综合满意度＜80%：每下降 1% 罚款</w:t>
            </w:r>
            <w:r>
              <w:rPr>
                <w:rFonts w:hint="eastAsia" w:ascii="宋体" w:hAnsi="宋体" w:eastAsia="宋体" w:cs="Times New Roman"/>
                <w:color w:val="FF0000"/>
                <w:szCs w:val="21"/>
                <w:highlight w:val="yellow"/>
              </w:rPr>
              <w:t xml:space="preserve"> 300</w:t>
            </w:r>
            <w:r>
              <w:rPr>
                <w:rFonts w:hint="eastAsia" w:ascii="宋体" w:hAnsi="宋体" w:eastAsia="宋体" w:cs="Times New Roman"/>
                <w:szCs w:val="21"/>
                <w:highlight w:val="yellow"/>
              </w:rPr>
              <w:t xml:space="preserve"> 元。</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（2）满意度调查结果与月度考核挂钩，作为进度款支付、合同续期的重要依据。</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5</w:t>
            </w:r>
            <w:r>
              <w:rPr>
                <w:rFonts w:ascii="宋体" w:hAnsi="宋体" w:eastAsia="宋体" w:cs="Times New Roman"/>
                <w:szCs w:val="21"/>
                <w:highlight w:val="yellow"/>
              </w:rPr>
              <w:t>.4</w:t>
            </w:r>
            <w:r>
              <w:rPr>
                <w:rFonts w:hint="eastAsia" w:ascii="宋体" w:hAnsi="宋体" w:eastAsia="宋体" w:cs="Times New Roman"/>
                <w:szCs w:val="21"/>
                <w:highlight w:val="yellow"/>
              </w:rPr>
              <w:t>、考核结果与合同管理</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 xml:space="preserve">（1）月度处罚费用直接从当月运维服务费用中扣除；若当月处罚费用累计超过 </w:t>
            </w:r>
            <w:r>
              <w:rPr>
                <w:rFonts w:hint="eastAsia" w:ascii="宋体" w:hAnsi="宋体" w:eastAsia="宋体" w:cs="Times New Roman"/>
                <w:color w:val="FF0000"/>
                <w:szCs w:val="21"/>
                <w:highlight w:val="yellow"/>
              </w:rPr>
              <w:t>3000</w:t>
            </w:r>
            <w:r>
              <w:rPr>
                <w:rFonts w:hint="eastAsia" w:ascii="宋体" w:hAnsi="宋体" w:eastAsia="宋体" w:cs="Times New Roman"/>
                <w:szCs w:val="21"/>
                <w:highlight w:val="yellow"/>
              </w:rPr>
              <w:t xml:space="preserve"> 元，视为当月考核不合格。</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（2）一年内出现 4 次（含 4 次）考核不合格的，医院有权单方面解除维保合同，由此造成的医院损失（如设备损坏、医疗工作延误等）由供应商承担。</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（3）后勤办需每月汇总考核情况及各方反馈问题，向供应商出具《整改通知书》，明确整改要求与时限；供应商未按时整改或整改不达标的，按附件 2 相关标准追加处罚。</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6、人员管理与考勤要求</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6</w:t>
            </w:r>
            <w:r>
              <w:rPr>
                <w:rFonts w:ascii="宋体" w:hAnsi="宋体" w:eastAsia="宋体" w:cs="Times New Roman"/>
                <w:szCs w:val="21"/>
                <w:highlight w:val="yellow"/>
              </w:rPr>
              <w:t>.1</w:t>
            </w:r>
            <w:r>
              <w:rPr>
                <w:rFonts w:hint="eastAsia" w:ascii="宋体" w:hAnsi="宋体" w:eastAsia="宋体" w:cs="Times New Roman"/>
                <w:szCs w:val="21"/>
                <w:highlight w:val="yellow"/>
              </w:rPr>
              <w:t>、现场考勤管理：项目成员供应商共5人组成，工作日上班人员需确保不少于4人，法定节假日不少于2人，并严格执行现场上、下班打卡制度。若当日实际打卡人数仅 1 人（含以下），每次处罚 300 元。</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6</w:t>
            </w:r>
            <w:r>
              <w:rPr>
                <w:rFonts w:ascii="宋体" w:hAnsi="宋体" w:eastAsia="宋体" w:cs="Times New Roman"/>
                <w:szCs w:val="21"/>
                <w:highlight w:val="yellow"/>
              </w:rPr>
              <w:t>.2</w:t>
            </w:r>
            <w:r>
              <w:rPr>
                <w:rFonts w:hint="eastAsia" w:ascii="宋体" w:hAnsi="宋体" w:eastAsia="宋体" w:cs="Times New Roman"/>
                <w:szCs w:val="21"/>
                <w:highlight w:val="yellow"/>
              </w:rPr>
              <w:t>、持证上岗与人员稳定性</w:t>
            </w:r>
          </w:p>
          <w:p>
            <w:pPr>
              <w:spacing w:line="320" w:lineRule="exact"/>
              <w:rPr>
                <w:rFonts w:ascii="宋体" w:hAnsi="宋体" w:eastAsia="宋体" w:cs="Times New Roman"/>
                <w:szCs w:val="21"/>
                <w:highlight w:val="yellow"/>
              </w:rPr>
            </w:pPr>
            <w:r>
              <w:rPr>
                <w:rFonts w:hint="eastAsia" w:ascii="宋体" w:hAnsi="宋体" w:eastAsia="宋体" w:cs="Times New Roman"/>
                <w:szCs w:val="21"/>
                <w:highlight w:val="yellow"/>
              </w:rPr>
              <w:t>所有驻场维保人员须持有效证件上岗（包括但不限于高处作业证、制冷与空调作业证、电工证），供应商需为人员购买意外保险，并向医院提交保险凭证。</w:t>
            </w:r>
          </w:p>
          <w:p>
            <w:pPr>
              <w:spacing w:line="320" w:lineRule="exact"/>
              <w:rPr>
                <w:rFonts w:ascii="宋体" w:hAnsi="宋体" w:eastAsia="宋体" w:cs="Times New Roman"/>
                <w:szCs w:val="21"/>
                <w:highlight w:val="yellow"/>
              </w:rPr>
            </w:pPr>
            <w:r>
              <w:rPr>
                <w:rFonts w:ascii="宋体" w:hAnsi="宋体" w:eastAsia="宋体" w:cs="Times New Roman"/>
                <w:szCs w:val="21"/>
                <w:highlight w:val="yellow"/>
              </w:rPr>
              <w:t>6.3</w:t>
            </w:r>
            <w:r>
              <w:rPr>
                <w:rFonts w:hint="eastAsia" w:ascii="宋体" w:hAnsi="宋体" w:eastAsia="宋体" w:cs="Times New Roman"/>
                <w:szCs w:val="21"/>
                <w:highlight w:val="yellow"/>
              </w:rPr>
              <w:t>、人员变动时，需提前向医院提交驻点人员变更申请及完整手续；3 个月内同一岗位人员调整不得超过 2 次，超出次数按每次</w:t>
            </w:r>
            <w:r>
              <w:rPr>
                <w:rFonts w:hint="eastAsia" w:ascii="宋体" w:hAnsi="宋体" w:eastAsia="宋体" w:cs="Times New Roman"/>
                <w:color w:val="FF0000"/>
                <w:szCs w:val="21"/>
                <w:highlight w:val="yellow"/>
              </w:rPr>
              <w:t>300</w:t>
            </w:r>
            <w:r>
              <w:rPr>
                <w:rFonts w:hint="eastAsia" w:ascii="宋体" w:hAnsi="宋体" w:eastAsia="宋体" w:cs="Times New Roman"/>
                <w:szCs w:val="21"/>
                <w:highlight w:val="yellow"/>
              </w:rPr>
              <w:t>元处罚。</w:t>
            </w:r>
          </w:p>
          <w:p>
            <w:pPr>
              <w:tabs>
                <w:tab w:val="left" w:pos="180"/>
                <w:tab w:val="left" w:pos="1620"/>
              </w:tabs>
              <w:spacing w:line="400" w:lineRule="exact"/>
              <w:rPr>
                <w:rFonts w:ascii="宋体" w:hAnsi="宋体" w:eastAsia="宋体" w:cs="宋体"/>
                <w:szCs w:val="21"/>
                <w:highlight w:val="yellow"/>
              </w:rPr>
            </w:pPr>
            <w:r>
              <w:rPr>
                <w:rFonts w:hint="eastAsia" w:ascii="宋体" w:hAnsi="宋体" w:eastAsia="宋体" w:cs="Times New Roman"/>
                <w:szCs w:val="21"/>
                <w:highlight w:val="yellow"/>
              </w:rPr>
              <w:t>6</w:t>
            </w:r>
            <w:r>
              <w:rPr>
                <w:rFonts w:ascii="宋体" w:hAnsi="宋体" w:eastAsia="宋体" w:cs="Times New Roman"/>
                <w:szCs w:val="21"/>
                <w:highlight w:val="yellow"/>
              </w:rPr>
              <w:t>.4</w:t>
            </w:r>
            <w:r>
              <w:rPr>
                <w:rFonts w:hint="eastAsia" w:ascii="宋体" w:hAnsi="宋体" w:eastAsia="宋体" w:cs="Times New Roman"/>
                <w:szCs w:val="21"/>
                <w:highlight w:val="yellow"/>
              </w:rPr>
              <w:t>、团队配置要求：供应商需设立项目经理 1 名，要求熟悉本项目所有系统（中央空调、洁净系统等）的运行逻辑与控制原理，具备为项目提供整体用能解决方案的能力，确保系统符合国家节能减排政策要求。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35" w:type="dxa"/>
            <w:tcBorders>
              <w:left w:val="single" w:color="auto" w:sz="4" w:space="0"/>
              <w:bottom w:val="single" w:color="auto" w:sz="4" w:space="0"/>
              <w:right w:val="single" w:color="auto" w:sz="4" w:space="0"/>
            </w:tcBorders>
            <w:shd w:val="clear" w:color="auto" w:fill="auto"/>
            <w:vAlign w:val="center"/>
          </w:tcPr>
          <w:p>
            <w:pPr>
              <w:spacing w:line="380" w:lineRule="exact"/>
              <w:rPr>
                <w:rFonts w:ascii="宋体" w:hAnsi="宋体" w:eastAsia="宋体" w:cs="Times New Roman"/>
                <w:b/>
                <w:sz w:val="28"/>
                <w:szCs w:val="28"/>
              </w:rPr>
            </w:pPr>
            <w:r>
              <w:rPr>
                <w:rFonts w:hint="eastAsia" w:ascii="宋体" w:hAnsi="宋体" w:eastAsia="宋体" w:cs="Times New Roman"/>
                <w:szCs w:val="21"/>
              </w:rPr>
              <w:t>报价要求</w:t>
            </w:r>
          </w:p>
        </w:tc>
        <w:tc>
          <w:tcPr>
            <w:tcW w:w="9451" w:type="dxa"/>
            <w:gridSpan w:val="3"/>
            <w:tcBorders>
              <w:left w:val="single" w:color="auto" w:sz="4" w:space="0"/>
              <w:bottom w:val="single" w:color="auto" w:sz="4" w:space="0"/>
              <w:right w:val="single" w:color="auto" w:sz="4" w:space="0"/>
            </w:tcBorders>
            <w:shd w:val="clear" w:color="auto" w:fill="auto"/>
            <w:vAlign w:val="center"/>
          </w:tcPr>
          <w:p>
            <w:pPr>
              <w:spacing w:line="320" w:lineRule="exact"/>
              <w:rPr>
                <w:rFonts w:ascii="宋体" w:hAnsi="宋体" w:eastAsia="宋体" w:cs="Arial"/>
                <w:bCs/>
                <w:szCs w:val="21"/>
                <w:highlight w:val="yellow"/>
              </w:rPr>
            </w:pPr>
            <w:r>
              <w:rPr>
                <w:rFonts w:hint="eastAsia" w:ascii="宋体" w:hAnsi="宋体" w:eastAsia="宋体" w:cs="Arial"/>
                <w:bCs/>
                <w:szCs w:val="21"/>
                <w:highlight w:val="yellow"/>
              </w:rPr>
              <w:t>1、本合同总包干价，除中央空调单次维修300元以上（分体空调100元以上）的配件费，分体空调拆装费外，其余空调的配件费、材料费、拆装费、保养费、维修费均已包含在内。</w:t>
            </w:r>
          </w:p>
          <w:p>
            <w:pPr>
              <w:tabs>
                <w:tab w:val="left" w:pos="180"/>
                <w:tab w:val="left" w:pos="1620"/>
              </w:tabs>
              <w:spacing w:line="400" w:lineRule="exact"/>
              <w:rPr>
                <w:rFonts w:ascii="宋体" w:hAnsi="宋体" w:eastAsia="宋体" w:cs="宋体"/>
                <w:szCs w:val="21"/>
                <w:highlight w:val="yellow"/>
              </w:rPr>
            </w:pPr>
            <w:r>
              <w:rPr>
                <w:rFonts w:hint="eastAsia" w:ascii="宋体" w:hAnsi="宋体" w:eastAsia="宋体" w:cs="Arial"/>
                <w:bCs/>
                <w:szCs w:val="21"/>
                <w:highlight w:val="yellow"/>
              </w:rPr>
              <w:t>2、供货商需在响应文件中提供：中央空调300元以上配件价格清单、分体空调100元以上配件价格清单,详见附件《维修配件价格清单》。各项单价报价有超出《维修配件价格清单》“</w:t>
            </w:r>
            <w:r>
              <w:rPr>
                <w:rFonts w:hint="eastAsia" w:ascii="宋体" w:hAnsi="宋体" w:eastAsia="宋体" w:cs="仿宋_GB2312"/>
                <w:szCs w:val="21"/>
                <w:highlight w:val="yellow"/>
              </w:rPr>
              <w:t>单价（控制价）”的，响应无效。</w:t>
            </w:r>
            <w:r>
              <w:rPr>
                <w:rFonts w:hint="eastAsia" w:ascii="宋体" w:hAnsi="宋体" w:eastAsia="宋体" w:cs="Arial"/>
                <w:bCs/>
                <w:szCs w:val="21"/>
                <w:highlight w:val="yellow"/>
              </w:rPr>
              <w:t>清单中应列明：“配件名称”、“品牌”、“规格型号”、“单价”、“单位”等信息。</w:t>
            </w:r>
          </w:p>
        </w:tc>
      </w:tr>
      <w:bookmarkEnd w:id="2"/>
    </w:tbl>
    <w:p>
      <w:pPr>
        <w:tabs>
          <w:tab w:val="left" w:pos="180"/>
          <w:tab w:val="left" w:pos="1620"/>
        </w:tabs>
        <w:spacing w:line="400" w:lineRule="exact"/>
        <w:rPr>
          <w:rFonts w:ascii="宋体" w:hAnsi="宋体" w:eastAsia="宋体" w:cs="宋体"/>
          <w:szCs w:val="21"/>
        </w:rPr>
      </w:pPr>
    </w:p>
    <w:p>
      <w:pPr>
        <w:tabs>
          <w:tab w:val="left" w:pos="180"/>
          <w:tab w:val="left" w:pos="1620"/>
        </w:tabs>
        <w:spacing w:line="400" w:lineRule="exact"/>
        <w:rPr>
          <w:rFonts w:ascii="宋体" w:hAnsi="宋体" w:eastAsia="宋体" w:cs="宋体"/>
          <w:szCs w:val="21"/>
        </w:rPr>
      </w:pPr>
    </w:p>
    <w:p>
      <w:pPr>
        <w:spacing w:line="440" w:lineRule="exact"/>
        <w:jc w:val="left"/>
        <w:rPr>
          <w:rFonts w:ascii="宋体" w:hAnsi="宋体" w:eastAsia="宋体" w:cs="Times New Roman"/>
          <w:b/>
          <w:sz w:val="28"/>
          <w:szCs w:val="28"/>
        </w:rPr>
      </w:pPr>
    </w:p>
    <w:p>
      <w:pPr>
        <w:spacing w:line="440" w:lineRule="exact"/>
        <w:jc w:val="left"/>
        <w:rPr>
          <w:rFonts w:ascii="宋体" w:hAnsi="宋体" w:eastAsia="宋体" w:cs="Times New Roman"/>
          <w:b/>
          <w:sz w:val="28"/>
          <w:szCs w:val="28"/>
        </w:rPr>
      </w:pPr>
    </w:p>
    <w:p>
      <w:pPr>
        <w:spacing w:line="440" w:lineRule="exact"/>
        <w:jc w:val="left"/>
        <w:rPr>
          <w:rFonts w:ascii="宋体" w:hAnsi="宋体" w:eastAsia="宋体" w:cs="Times New Roman"/>
          <w:b/>
          <w:sz w:val="28"/>
          <w:szCs w:val="28"/>
        </w:rPr>
      </w:pPr>
    </w:p>
    <w:p>
      <w:pPr>
        <w:spacing w:line="440" w:lineRule="exact"/>
        <w:jc w:val="left"/>
        <w:rPr>
          <w:rFonts w:ascii="宋体" w:hAnsi="宋体" w:eastAsia="宋体" w:cs="Times New Roman"/>
          <w:b/>
          <w:sz w:val="28"/>
          <w:szCs w:val="28"/>
        </w:rPr>
      </w:pPr>
    </w:p>
    <w:p>
      <w:pPr>
        <w:spacing w:line="440" w:lineRule="exact"/>
        <w:jc w:val="left"/>
        <w:rPr>
          <w:rFonts w:ascii="宋体" w:hAnsi="宋体" w:eastAsia="宋体" w:cs="Times New Roman"/>
          <w:b/>
          <w:sz w:val="28"/>
          <w:szCs w:val="28"/>
        </w:rPr>
      </w:pPr>
    </w:p>
    <w:p>
      <w:pPr>
        <w:spacing w:line="440" w:lineRule="exact"/>
        <w:jc w:val="left"/>
        <w:rPr>
          <w:rFonts w:ascii="宋体" w:hAnsi="宋体" w:eastAsia="宋体" w:cs="Times New Roman"/>
          <w:b/>
          <w:sz w:val="28"/>
          <w:szCs w:val="28"/>
        </w:rPr>
      </w:pPr>
    </w:p>
    <w:p>
      <w:pPr>
        <w:widowControl/>
        <w:jc w:val="left"/>
        <w:rPr>
          <w:rFonts w:ascii="宋体" w:hAnsi="宋体" w:eastAsia="宋体" w:cs="Times New Roman"/>
          <w:b/>
          <w:sz w:val="28"/>
          <w:szCs w:val="28"/>
        </w:rPr>
      </w:pPr>
      <w:r>
        <w:rPr>
          <w:rFonts w:ascii="宋体" w:hAnsi="宋体" w:eastAsia="宋体" w:cs="Times New Roman"/>
          <w:b/>
          <w:sz w:val="28"/>
          <w:szCs w:val="28"/>
        </w:rPr>
        <w:br w:type="page"/>
      </w:r>
    </w:p>
    <w:p>
      <w:pPr>
        <w:widowControl/>
        <w:jc w:val="center"/>
        <w:rPr>
          <w:rFonts w:ascii="宋体" w:hAnsi="宋体" w:eastAsia="宋体" w:cs="Times New Roman"/>
          <w:b/>
          <w:sz w:val="28"/>
          <w:szCs w:val="28"/>
          <w:highlight w:val="yellow"/>
        </w:rPr>
      </w:pPr>
      <w:r>
        <w:rPr>
          <w:rFonts w:hint="eastAsia" w:ascii="宋体" w:hAnsi="宋体" w:eastAsia="宋体" w:cs="宋体"/>
          <w:b/>
          <w:color w:val="000000"/>
          <w:kern w:val="0"/>
          <w:sz w:val="32"/>
          <w:szCs w:val="32"/>
          <w:highlight w:val="yellow"/>
          <w:lang w:bidi="ar"/>
        </w:rPr>
        <w:t>中央空调系统维保预算单</w:t>
      </w:r>
    </w:p>
    <w:tbl>
      <w:tblPr>
        <w:tblStyle w:val="9"/>
        <w:tblW w:w="9840" w:type="dxa"/>
        <w:jc w:val="center"/>
        <w:tblLayout w:type="fixed"/>
        <w:tblCellMar>
          <w:top w:w="0" w:type="dxa"/>
          <w:left w:w="0" w:type="dxa"/>
          <w:bottom w:w="0" w:type="dxa"/>
          <w:right w:w="0" w:type="dxa"/>
        </w:tblCellMar>
      </w:tblPr>
      <w:tblGrid>
        <w:gridCol w:w="577"/>
        <w:gridCol w:w="2529"/>
        <w:gridCol w:w="907"/>
        <w:gridCol w:w="922"/>
        <w:gridCol w:w="1448"/>
        <w:gridCol w:w="1410"/>
        <w:gridCol w:w="2047"/>
      </w:tblGrid>
      <w:tr>
        <w:tblPrEx>
          <w:tblCellMar>
            <w:top w:w="0" w:type="dxa"/>
            <w:left w:w="0" w:type="dxa"/>
            <w:bottom w:w="0" w:type="dxa"/>
            <w:right w:w="0" w:type="dxa"/>
          </w:tblCellMar>
        </w:tblPrEx>
        <w:trPr>
          <w:trHeight w:val="493" w:hRule="atLeast"/>
          <w:jc w:val="center"/>
        </w:trPr>
        <w:tc>
          <w:tcPr>
            <w:tcW w:w="9840"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（一）门诊楼、住院大楼、神经内科大楼、全院分体空调维保预算单</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序号</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设备名称</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单位</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数量</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单价（元/年）</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金额（元/年）</w:t>
            </w: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备注</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水冷螺杆式冷水机组</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Cs w:val="21"/>
              </w:rPr>
            </w:pPr>
            <w:r>
              <w:rPr>
                <w:rFonts w:hint="eastAsia" w:ascii="宋体" w:hAnsi="宋体" w:eastAsia="宋体" w:cs="宋体"/>
                <w:color w:val="000000"/>
                <w:sz w:val="22"/>
                <w:szCs w:val="22"/>
              </w:rPr>
              <w:t>每月1次检查保养</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冷却塔</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Cs w:val="21"/>
              </w:rPr>
            </w:pPr>
            <w:r>
              <w:rPr>
                <w:rFonts w:hint="eastAsia" w:ascii="宋体" w:hAnsi="宋体" w:eastAsia="宋体" w:cs="宋体"/>
                <w:color w:val="000000"/>
                <w:sz w:val="22"/>
                <w:szCs w:val="22"/>
              </w:rPr>
              <w:t>每月1次检查清洗</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3</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风冷模块热泵机组</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51</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每月1次检查保养</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风机盘管</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1647</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Cs w:val="21"/>
              </w:rPr>
            </w:pPr>
            <w:r>
              <w:rPr>
                <w:rFonts w:hint="eastAsia" w:ascii="宋体" w:hAnsi="宋体" w:eastAsia="宋体" w:cs="宋体"/>
                <w:color w:val="000000"/>
                <w:sz w:val="22"/>
                <w:szCs w:val="22"/>
              </w:rPr>
              <w:t>每年</w:t>
            </w:r>
            <w:r>
              <w:rPr>
                <w:rFonts w:hint="eastAsia" w:ascii="宋体" w:hAnsi="宋体" w:eastAsia="宋体" w:cs="宋体"/>
                <w:color w:val="000000"/>
                <w:szCs w:val="21"/>
              </w:rPr>
              <w:t>清洗3次</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5</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新风机</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26</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Cs w:val="21"/>
              </w:rPr>
            </w:pPr>
            <w:r>
              <w:rPr>
                <w:rFonts w:hint="eastAsia" w:ascii="宋体" w:hAnsi="宋体" w:eastAsia="宋体" w:cs="宋体"/>
                <w:color w:val="000000"/>
                <w:sz w:val="22"/>
                <w:szCs w:val="22"/>
              </w:rPr>
              <w:t>每年</w:t>
            </w:r>
            <w:r>
              <w:rPr>
                <w:rFonts w:hint="eastAsia" w:ascii="宋体" w:hAnsi="宋体" w:eastAsia="宋体" w:cs="宋体"/>
                <w:color w:val="000000"/>
                <w:szCs w:val="21"/>
              </w:rPr>
              <w:t>清洗3次</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6</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分体空调</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686</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Cs w:val="21"/>
              </w:rPr>
            </w:pPr>
            <w:r>
              <w:rPr>
                <w:rFonts w:hint="eastAsia" w:ascii="宋体" w:hAnsi="宋体" w:eastAsia="宋体" w:cs="宋体"/>
                <w:color w:val="000000"/>
                <w:sz w:val="22"/>
                <w:szCs w:val="22"/>
              </w:rPr>
              <w:t>每年</w:t>
            </w:r>
            <w:r>
              <w:rPr>
                <w:rFonts w:hint="eastAsia" w:ascii="宋体" w:hAnsi="宋体" w:eastAsia="宋体" w:cs="宋体"/>
                <w:color w:val="000000"/>
                <w:szCs w:val="21"/>
              </w:rPr>
              <w:t>清洗1次</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7</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水泵</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14</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Cs w:val="21"/>
              </w:rPr>
            </w:pPr>
            <w:r>
              <w:rPr>
                <w:rFonts w:hint="eastAsia" w:ascii="宋体" w:hAnsi="宋体" w:eastAsia="宋体" w:cs="宋体"/>
                <w:color w:val="000000"/>
                <w:sz w:val="22"/>
                <w:szCs w:val="22"/>
              </w:rPr>
              <w:t>每月1次检查保养</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8</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水系统阀门</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项</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Cs w:val="21"/>
              </w:rPr>
            </w:pPr>
            <w:r>
              <w:rPr>
                <w:rFonts w:hint="eastAsia" w:ascii="宋体" w:hAnsi="宋体" w:eastAsia="宋体" w:cs="宋体"/>
                <w:color w:val="000000"/>
                <w:sz w:val="22"/>
                <w:szCs w:val="22"/>
              </w:rPr>
              <w:t>每月1次检查</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9</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空调配电控制系统</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项</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Cs w:val="21"/>
              </w:rPr>
            </w:pPr>
            <w:r>
              <w:rPr>
                <w:rFonts w:hint="eastAsia" w:ascii="宋体" w:hAnsi="宋体" w:eastAsia="宋体" w:cs="宋体"/>
                <w:color w:val="000000"/>
                <w:sz w:val="22"/>
                <w:szCs w:val="22"/>
              </w:rPr>
              <w:t>每月1次检查</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空调水系统水处理</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项</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Cs w:val="21"/>
              </w:rPr>
            </w:pPr>
            <w:r>
              <w:rPr>
                <w:rFonts w:hint="eastAsia" w:ascii="宋体" w:hAnsi="宋体" w:eastAsia="宋体" w:cs="宋体"/>
                <w:color w:val="000000"/>
                <w:sz w:val="22"/>
                <w:szCs w:val="22"/>
              </w:rPr>
              <w:t>每月加药排污4次</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11</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空气消毒机</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81</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Cs w:val="21"/>
              </w:rPr>
            </w:pPr>
            <w:r>
              <w:rPr>
                <w:rFonts w:hint="eastAsia" w:ascii="宋体" w:hAnsi="宋体" w:eastAsia="宋体" w:cs="宋体"/>
                <w:color w:val="000000"/>
                <w:sz w:val="22"/>
                <w:szCs w:val="22"/>
              </w:rPr>
              <w:t>每年</w:t>
            </w:r>
            <w:r>
              <w:rPr>
                <w:rFonts w:hint="eastAsia" w:ascii="宋体" w:hAnsi="宋体" w:eastAsia="宋体" w:cs="宋体"/>
                <w:color w:val="000000"/>
                <w:szCs w:val="21"/>
              </w:rPr>
              <w:t>清洗2次</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12</w:t>
            </w:r>
          </w:p>
        </w:tc>
        <w:tc>
          <w:tcPr>
            <w:tcW w:w="25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模块机组</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7</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手术室净化空调，</w:t>
            </w:r>
            <w:r>
              <w:rPr>
                <w:rFonts w:hint="eastAsia" w:ascii="宋体" w:hAnsi="宋体" w:eastAsia="宋体" w:cs="宋体"/>
                <w:color w:val="000000"/>
                <w:sz w:val="22"/>
                <w:szCs w:val="22"/>
              </w:rPr>
              <w:t>每月1次检查</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13</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洁净风柜</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5</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手术室净化空调，每周清洗风口</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14</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水泵</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3</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手术室净化空调，</w:t>
            </w:r>
            <w:r>
              <w:rPr>
                <w:rFonts w:hint="eastAsia" w:ascii="宋体" w:hAnsi="宋体" w:eastAsia="宋体" w:cs="宋体"/>
                <w:color w:val="000000"/>
                <w:sz w:val="22"/>
                <w:szCs w:val="22"/>
              </w:rPr>
              <w:t>每月1次检查</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Ⅰ</w:t>
            </w:r>
          </w:p>
        </w:tc>
        <w:tc>
          <w:tcPr>
            <w:tcW w:w="2529"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FF0000"/>
                <w:kern w:val="0"/>
                <w:sz w:val="22"/>
                <w:szCs w:val="22"/>
                <w:lang w:bidi="ar"/>
              </w:rPr>
              <w:t>小计</w:t>
            </w:r>
          </w:p>
        </w:tc>
        <w:tc>
          <w:tcPr>
            <w:tcW w:w="3277" w:type="dxa"/>
            <w:gridSpan w:val="3"/>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bCs/>
                <w:color w:val="000000"/>
                <w:sz w:val="22"/>
                <w:szCs w:val="22"/>
              </w:rPr>
            </w:pPr>
          </w:p>
        </w:tc>
        <w:tc>
          <w:tcPr>
            <w:tcW w:w="1410"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bCs/>
                <w:color w:val="000000"/>
                <w:sz w:val="22"/>
                <w:szCs w:val="22"/>
              </w:rPr>
            </w:pPr>
          </w:p>
        </w:tc>
        <w:tc>
          <w:tcPr>
            <w:tcW w:w="2047"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一年</w:t>
            </w:r>
          </w:p>
        </w:tc>
      </w:tr>
      <w:tr>
        <w:tblPrEx>
          <w:tblCellMar>
            <w:top w:w="0" w:type="dxa"/>
            <w:left w:w="0" w:type="dxa"/>
            <w:bottom w:w="0" w:type="dxa"/>
            <w:right w:w="0" w:type="dxa"/>
          </w:tblCellMar>
        </w:tblPrEx>
        <w:trPr>
          <w:trHeight w:val="493" w:hRule="atLeast"/>
          <w:jc w:val="center"/>
        </w:trPr>
        <w:tc>
          <w:tcPr>
            <w:tcW w:w="9840" w:type="dxa"/>
            <w:gridSpan w:val="7"/>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（二）老年医学中心大楼空调维保预算单</w:t>
            </w:r>
          </w:p>
        </w:tc>
      </w:tr>
      <w:tr>
        <w:tblPrEx>
          <w:tblCellMar>
            <w:top w:w="0" w:type="dxa"/>
            <w:left w:w="0" w:type="dxa"/>
            <w:bottom w:w="0" w:type="dxa"/>
            <w:right w:w="0" w:type="dxa"/>
          </w:tblCellMar>
        </w:tblPrEx>
        <w:trPr>
          <w:trHeight w:val="493" w:hRule="atLeast"/>
          <w:jc w:val="center"/>
        </w:trPr>
        <w:tc>
          <w:tcPr>
            <w:tcW w:w="577"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序号</w:t>
            </w:r>
          </w:p>
        </w:tc>
        <w:tc>
          <w:tcPr>
            <w:tcW w:w="2529"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设备名称</w:t>
            </w:r>
          </w:p>
        </w:tc>
        <w:tc>
          <w:tcPr>
            <w:tcW w:w="907"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单位</w:t>
            </w:r>
          </w:p>
        </w:tc>
        <w:tc>
          <w:tcPr>
            <w:tcW w:w="922"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数量</w:t>
            </w:r>
          </w:p>
        </w:tc>
        <w:tc>
          <w:tcPr>
            <w:tcW w:w="1448"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单价（元/年）</w:t>
            </w:r>
          </w:p>
        </w:tc>
        <w:tc>
          <w:tcPr>
            <w:tcW w:w="1410"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金额（元/年）</w:t>
            </w:r>
          </w:p>
        </w:tc>
        <w:tc>
          <w:tcPr>
            <w:tcW w:w="2047"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备注</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水冷离心冷水机组</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每月1次检查保养</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水冷螺杆式冷水机组</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每月1次检查保养</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3</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冷却塔</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3</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每月1次检查清洗</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风冷模块热泵机组</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24</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每月1次检查保养</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5</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风机盘管</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2158</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每年</w:t>
            </w:r>
            <w:r>
              <w:rPr>
                <w:rFonts w:hint="eastAsia" w:ascii="宋体" w:hAnsi="宋体" w:eastAsia="宋体" w:cs="宋体"/>
                <w:color w:val="000000"/>
                <w:szCs w:val="21"/>
              </w:rPr>
              <w:t>清洗3次</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6</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吊式空气处理机组</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34</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每年</w:t>
            </w:r>
            <w:r>
              <w:rPr>
                <w:rFonts w:hint="eastAsia" w:ascii="宋体" w:hAnsi="宋体" w:eastAsia="宋体" w:cs="宋体"/>
                <w:color w:val="000000"/>
                <w:szCs w:val="21"/>
              </w:rPr>
              <w:t>清洗3次</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7</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组合空气处理机组</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每年</w:t>
            </w:r>
            <w:r>
              <w:rPr>
                <w:rFonts w:hint="eastAsia" w:ascii="宋体" w:hAnsi="宋体" w:eastAsia="宋体" w:cs="宋体"/>
                <w:color w:val="000000"/>
                <w:szCs w:val="21"/>
              </w:rPr>
              <w:t>清洗3次</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8</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新风机</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7</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每年</w:t>
            </w:r>
            <w:r>
              <w:rPr>
                <w:rFonts w:hint="eastAsia" w:ascii="宋体" w:hAnsi="宋体" w:eastAsia="宋体" w:cs="宋体"/>
                <w:color w:val="000000"/>
                <w:szCs w:val="21"/>
              </w:rPr>
              <w:t>清洗3次</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9</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多联式室外机</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21</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每月1次检查保养</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变冷媒流量空调室内机</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220</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每年</w:t>
            </w:r>
            <w:r>
              <w:rPr>
                <w:rFonts w:hint="eastAsia" w:ascii="宋体" w:hAnsi="宋体" w:eastAsia="宋体" w:cs="宋体"/>
                <w:color w:val="000000"/>
                <w:szCs w:val="21"/>
              </w:rPr>
              <w:t>清洗3次</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11</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水泵</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15</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每月1次检查保养</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12</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水系统阀门</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项</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每月1次检查</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13</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空调配电控制系统</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项</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每月1次检查</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14</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空调水系统水处理</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项</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每月加药排污4次</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15</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精密空调</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台</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14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每月1次检查保养</w:t>
            </w:r>
          </w:p>
        </w:tc>
      </w:tr>
      <w:tr>
        <w:tblPrEx>
          <w:tblCellMar>
            <w:top w:w="0" w:type="dxa"/>
            <w:left w:w="0" w:type="dxa"/>
            <w:bottom w:w="0" w:type="dxa"/>
            <w:right w:w="0" w:type="dxa"/>
          </w:tblCellMar>
        </w:tblPrEx>
        <w:trPr>
          <w:trHeight w:val="49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Ⅱ</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FF0000"/>
                <w:kern w:val="0"/>
                <w:sz w:val="22"/>
                <w:szCs w:val="22"/>
                <w:lang w:bidi="ar"/>
              </w:rPr>
              <w:t>小计</w:t>
            </w:r>
          </w:p>
        </w:tc>
        <w:tc>
          <w:tcPr>
            <w:tcW w:w="327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bCs/>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bCs/>
                <w:color w:val="00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一年</w:t>
            </w:r>
          </w:p>
        </w:tc>
      </w:tr>
      <w:tr>
        <w:tblPrEx>
          <w:tblCellMar>
            <w:top w:w="0" w:type="dxa"/>
            <w:left w:w="0" w:type="dxa"/>
            <w:bottom w:w="0" w:type="dxa"/>
            <w:right w:w="0" w:type="dxa"/>
          </w:tblCellMar>
        </w:tblPrEx>
        <w:trPr>
          <w:trHeight w:val="62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Ⅲ</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bCs/>
                <w:color w:val="FF0000"/>
                <w:sz w:val="22"/>
                <w:szCs w:val="22"/>
              </w:rPr>
            </w:pPr>
            <w:r>
              <w:rPr>
                <w:rFonts w:hint="eastAsia" w:ascii="宋体" w:hAnsi="宋体" w:eastAsia="宋体" w:cs="宋体"/>
                <w:b/>
                <w:bCs/>
                <w:color w:val="FF0000"/>
                <w:kern w:val="0"/>
                <w:sz w:val="22"/>
                <w:szCs w:val="22"/>
                <w:lang w:bidi="ar"/>
              </w:rPr>
              <w:t>小计</w:t>
            </w:r>
          </w:p>
        </w:tc>
        <w:tc>
          <w:tcPr>
            <w:tcW w:w="327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bCs/>
                <w:color w:val="FF0000"/>
                <w:sz w:val="22"/>
                <w:szCs w:val="22"/>
              </w:rPr>
            </w:pPr>
            <w:r>
              <w:rPr>
                <w:rFonts w:hint="eastAsia" w:ascii="宋体" w:hAnsi="宋体" w:eastAsia="宋体" w:cs="宋体"/>
                <w:b/>
                <w:bCs/>
                <w:color w:val="FF0000"/>
                <w:kern w:val="0"/>
                <w:sz w:val="22"/>
                <w:szCs w:val="22"/>
                <w:lang w:bidi="ar"/>
              </w:rPr>
              <w:t>Ⅰ+Ⅱ</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bCs/>
                <w:color w:val="FF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bCs/>
                <w:color w:val="FF0000"/>
                <w:sz w:val="22"/>
                <w:szCs w:val="22"/>
              </w:rPr>
            </w:pPr>
            <w:r>
              <w:rPr>
                <w:rFonts w:hint="eastAsia" w:ascii="宋体" w:hAnsi="宋体" w:eastAsia="宋体" w:cs="宋体"/>
                <w:b/>
                <w:bCs/>
                <w:color w:val="FF0000"/>
                <w:kern w:val="0"/>
                <w:sz w:val="22"/>
                <w:szCs w:val="22"/>
                <w:lang w:bidi="ar"/>
              </w:rPr>
              <w:t>一年</w:t>
            </w:r>
          </w:p>
        </w:tc>
      </w:tr>
      <w:tr>
        <w:tblPrEx>
          <w:tblCellMar>
            <w:top w:w="0" w:type="dxa"/>
            <w:left w:w="0" w:type="dxa"/>
            <w:bottom w:w="0" w:type="dxa"/>
            <w:right w:w="0" w:type="dxa"/>
          </w:tblCellMar>
        </w:tblPrEx>
        <w:trPr>
          <w:trHeight w:val="646"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bCs/>
                <w:color w:val="000000"/>
                <w:kern w:val="0"/>
                <w:sz w:val="22"/>
                <w:szCs w:val="22"/>
                <w:lang w:bidi="ar"/>
              </w:rPr>
            </w:pPr>
            <w:r>
              <w:rPr>
                <w:rFonts w:hint="eastAsia" w:ascii="宋体" w:hAnsi="宋体" w:eastAsia="宋体" w:cs="宋体"/>
                <w:b/>
                <w:bCs/>
                <w:color w:val="000000"/>
                <w:kern w:val="0"/>
                <w:sz w:val="22"/>
                <w:szCs w:val="22"/>
                <w:lang w:bidi="ar"/>
              </w:rPr>
              <w:t>Ⅳ</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bCs/>
                <w:color w:val="FF0000"/>
                <w:kern w:val="0"/>
                <w:sz w:val="22"/>
                <w:szCs w:val="22"/>
                <w:lang w:bidi="ar"/>
              </w:rPr>
            </w:pPr>
            <w:r>
              <w:rPr>
                <w:rFonts w:hint="eastAsia" w:ascii="宋体" w:hAnsi="宋体" w:eastAsia="宋体" w:cs="宋体"/>
                <w:b/>
                <w:bCs/>
                <w:color w:val="FF0000"/>
                <w:kern w:val="0"/>
                <w:sz w:val="22"/>
                <w:szCs w:val="22"/>
                <w:lang w:bidi="ar"/>
              </w:rPr>
              <w:t>总计</w:t>
            </w:r>
          </w:p>
        </w:tc>
        <w:tc>
          <w:tcPr>
            <w:tcW w:w="327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bCs/>
                <w:color w:val="FF0000"/>
                <w:sz w:val="22"/>
                <w:szCs w:val="22"/>
              </w:rPr>
            </w:pPr>
            <w:r>
              <w:rPr>
                <w:rFonts w:hint="eastAsia" w:ascii="宋体" w:hAnsi="宋体" w:eastAsia="宋体" w:cs="宋体"/>
                <w:b/>
                <w:bCs/>
                <w:color w:val="FF0000"/>
                <w:kern w:val="0"/>
                <w:sz w:val="22"/>
                <w:szCs w:val="22"/>
                <w:lang w:bidi="ar"/>
              </w:rPr>
              <w:t>Ⅲ*2年</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bCs/>
                <w:color w:val="FF0000"/>
                <w:sz w:val="22"/>
                <w:szCs w:val="22"/>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bCs/>
                <w:color w:val="FF0000"/>
                <w:kern w:val="0"/>
                <w:sz w:val="22"/>
                <w:szCs w:val="22"/>
                <w:lang w:bidi="ar"/>
              </w:rPr>
            </w:pPr>
            <w:r>
              <w:rPr>
                <w:rFonts w:hint="eastAsia" w:ascii="宋体" w:hAnsi="宋体" w:eastAsia="宋体" w:cs="宋体"/>
                <w:b/>
                <w:bCs/>
                <w:color w:val="FF0000"/>
                <w:kern w:val="0"/>
                <w:sz w:val="22"/>
                <w:szCs w:val="22"/>
                <w:lang w:bidi="ar"/>
              </w:rPr>
              <w:t>二年</w:t>
            </w:r>
          </w:p>
        </w:tc>
      </w:tr>
    </w:tbl>
    <w:p>
      <w:pPr>
        <w:spacing w:line="440" w:lineRule="exact"/>
        <w:jc w:val="left"/>
        <w:rPr>
          <w:rFonts w:ascii="宋体" w:hAnsi="宋体" w:eastAsia="宋体" w:cs="Times New Roman"/>
          <w:b/>
          <w:sz w:val="28"/>
          <w:szCs w:val="28"/>
        </w:rPr>
      </w:pPr>
    </w:p>
    <w:p>
      <w:pPr>
        <w:spacing w:line="440" w:lineRule="exact"/>
        <w:jc w:val="left"/>
        <w:rPr>
          <w:rFonts w:ascii="宋体" w:hAnsi="宋体" w:eastAsia="宋体" w:cs="Times New Roman"/>
          <w:b/>
          <w:sz w:val="28"/>
          <w:szCs w:val="28"/>
        </w:rPr>
      </w:pPr>
    </w:p>
    <w:p>
      <w:pPr>
        <w:spacing w:line="440" w:lineRule="exact"/>
        <w:jc w:val="left"/>
        <w:rPr>
          <w:rFonts w:ascii="宋体" w:hAnsi="宋体" w:eastAsia="宋体" w:cs="Times New Roman"/>
          <w:b/>
          <w:sz w:val="28"/>
          <w:szCs w:val="28"/>
        </w:rPr>
      </w:pPr>
    </w:p>
    <w:p>
      <w:pPr>
        <w:spacing w:line="440" w:lineRule="exact"/>
        <w:jc w:val="left"/>
        <w:rPr>
          <w:rFonts w:ascii="宋体" w:hAnsi="宋体" w:eastAsia="宋体" w:cs="Times New Roman"/>
          <w:b/>
          <w:sz w:val="28"/>
          <w:szCs w:val="28"/>
        </w:rPr>
      </w:pPr>
    </w:p>
    <w:p>
      <w:pPr>
        <w:spacing w:line="440" w:lineRule="exact"/>
        <w:jc w:val="left"/>
        <w:rPr>
          <w:rFonts w:ascii="宋体" w:hAnsi="宋体" w:eastAsia="宋体" w:cs="Times New Roman"/>
          <w:b/>
          <w:sz w:val="28"/>
          <w:szCs w:val="28"/>
        </w:rPr>
      </w:pPr>
    </w:p>
    <w:p>
      <w:pPr>
        <w:spacing w:line="440" w:lineRule="exact"/>
        <w:jc w:val="left"/>
        <w:rPr>
          <w:rFonts w:ascii="宋体" w:hAnsi="宋体" w:eastAsia="宋体" w:cs="Times New Roman"/>
          <w:b/>
          <w:sz w:val="28"/>
          <w:szCs w:val="28"/>
        </w:rPr>
      </w:pPr>
    </w:p>
    <w:p>
      <w:pPr>
        <w:spacing w:line="440" w:lineRule="exact"/>
        <w:jc w:val="left"/>
        <w:rPr>
          <w:rFonts w:ascii="宋体" w:hAnsi="宋体" w:eastAsia="宋体" w:cs="Times New Roman"/>
          <w:b/>
          <w:sz w:val="28"/>
          <w:szCs w:val="28"/>
        </w:rPr>
      </w:pPr>
    </w:p>
    <w:p>
      <w:pPr>
        <w:spacing w:line="440" w:lineRule="exact"/>
        <w:jc w:val="left"/>
        <w:rPr>
          <w:rFonts w:ascii="宋体" w:hAnsi="宋体" w:eastAsia="宋体" w:cs="Times New Roman"/>
          <w:b/>
          <w:sz w:val="28"/>
          <w:szCs w:val="28"/>
        </w:rPr>
      </w:pPr>
    </w:p>
    <w:p>
      <w:pPr>
        <w:spacing w:line="440" w:lineRule="exact"/>
        <w:jc w:val="left"/>
        <w:rPr>
          <w:rFonts w:ascii="宋体" w:hAnsi="宋体" w:eastAsia="宋体" w:cs="Times New Roman"/>
          <w:b/>
          <w:sz w:val="28"/>
          <w:szCs w:val="28"/>
        </w:rPr>
      </w:pPr>
    </w:p>
    <w:p>
      <w:pPr>
        <w:spacing w:line="440" w:lineRule="exact"/>
        <w:jc w:val="left"/>
        <w:rPr>
          <w:rFonts w:ascii="宋体" w:hAnsi="宋体" w:eastAsia="宋体" w:cs="Times New Roman"/>
          <w:b/>
          <w:sz w:val="28"/>
          <w:szCs w:val="28"/>
        </w:rPr>
      </w:pPr>
    </w:p>
    <w:p>
      <w:pPr>
        <w:spacing w:line="440" w:lineRule="exact"/>
        <w:jc w:val="left"/>
        <w:rPr>
          <w:rFonts w:ascii="宋体" w:hAnsi="宋体" w:eastAsia="宋体" w:cs="Times New Roman"/>
          <w:b/>
          <w:sz w:val="28"/>
          <w:szCs w:val="28"/>
        </w:rPr>
      </w:pPr>
    </w:p>
    <w:p>
      <w:pPr>
        <w:spacing w:line="440" w:lineRule="exact"/>
        <w:jc w:val="left"/>
        <w:rPr>
          <w:rFonts w:ascii="宋体" w:hAnsi="宋体" w:eastAsia="宋体" w:cs="Times New Roman"/>
          <w:b/>
          <w:sz w:val="28"/>
          <w:szCs w:val="28"/>
        </w:rPr>
      </w:pPr>
    </w:p>
    <w:p>
      <w:pPr>
        <w:spacing w:line="440" w:lineRule="exact"/>
        <w:jc w:val="left"/>
        <w:rPr>
          <w:rFonts w:ascii="宋体" w:hAnsi="宋体" w:eastAsia="宋体" w:cs="Times New Roman"/>
          <w:b/>
          <w:sz w:val="28"/>
          <w:szCs w:val="28"/>
        </w:rPr>
      </w:pPr>
    </w:p>
    <w:p>
      <w:pPr>
        <w:spacing w:line="440" w:lineRule="exact"/>
        <w:jc w:val="left"/>
        <w:rPr>
          <w:rFonts w:ascii="宋体" w:hAnsi="宋体" w:eastAsia="宋体" w:cs="Times New Roman"/>
          <w:b/>
          <w:sz w:val="28"/>
          <w:szCs w:val="28"/>
        </w:rPr>
      </w:pPr>
    </w:p>
    <w:p>
      <w:pPr>
        <w:spacing w:line="440" w:lineRule="exact"/>
        <w:jc w:val="left"/>
        <w:rPr>
          <w:rFonts w:ascii="宋体" w:hAnsi="宋体" w:eastAsia="宋体" w:cs="Times New Roman"/>
          <w:b/>
          <w:sz w:val="28"/>
          <w:szCs w:val="28"/>
        </w:rPr>
      </w:pPr>
    </w:p>
    <w:p>
      <w:pPr>
        <w:spacing w:line="440" w:lineRule="exact"/>
        <w:jc w:val="left"/>
        <w:rPr>
          <w:rFonts w:ascii="宋体" w:hAnsi="宋体" w:eastAsia="宋体" w:cs="Times New Roman"/>
          <w:b/>
          <w:sz w:val="28"/>
          <w:szCs w:val="28"/>
        </w:rPr>
      </w:pPr>
    </w:p>
    <w:p>
      <w:pPr>
        <w:spacing w:line="440" w:lineRule="exact"/>
        <w:jc w:val="left"/>
        <w:rPr>
          <w:rFonts w:ascii="宋体" w:hAnsi="宋体" w:eastAsia="宋体" w:cs="Times New Roman"/>
          <w:b/>
          <w:sz w:val="28"/>
          <w:szCs w:val="28"/>
        </w:rPr>
      </w:pPr>
    </w:p>
    <w:p>
      <w:pPr>
        <w:jc w:val="center"/>
        <w:rPr>
          <w:rFonts w:ascii="仿宋_GB2312" w:hAnsi="宋体" w:eastAsia="仿宋_GB2312" w:cs="Times New Roman"/>
          <w:sz w:val="24"/>
          <w:highlight w:val="yellow"/>
        </w:rPr>
      </w:pPr>
      <w:r>
        <w:rPr>
          <w:rFonts w:hint="eastAsia" w:ascii="宋体" w:hAnsi="宋体" w:eastAsia="宋体" w:cs="宋体"/>
          <w:b/>
          <w:bCs/>
          <w:sz w:val="28"/>
          <w:szCs w:val="28"/>
          <w:highlight w:val="yellow"/>
        </w:rPr>
        <w:t>维修配件价格清单</w:t>
      </w:r>
    </w:p>
    <w:tbl>
      <w:tblPr>
        <w:tblStyle w:val="9"/>
        <w:tblW w:w="10478" w:type="dxa"/>
        <w:jc w:val="center"/>
        <w:tblLayout w:type="autofit"/>
        <w:tblCellMar>
          <w:top w:w="0" w:type="dxa"/>
          <w:left w:w="108" w:type="dxa"/>
          <w:bottom w:w="0" w:type="dxa"/>
          <w:right w:w="108" w:type="dxa"/>
        </w:tblCellMar>
      </w:tblPr>
      <w:tblGrid>
        <w:gridCol w:w="835"/>
        <w:gridCol w:w="3115"/>
        <w:gridCol w:w="2600"/>
        <w:gridCol w:w="1042"/>
        <w:gridCol w:w="2886"/>
      </w:tblGrid>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序号</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配件名称</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品牌及规格型号</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单位</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供应商报价（单价，元）</w:t>
            </w:r>
          </w:p>
        </w:tc>
      </w:tr>
      <w:tr>
        <w:tblPrEx>
          <w:tblCellMar>
            <w:top w:w="0" w:type="dxa"/>
            <w:left w:w="108" w:type="dxa"/>
            <w:bottom w:w="0" w:type="dxa"/>
            <w:right w:w="108" w:type="dxa"/>
          </w:tblCellMar>
        </w:tblPrEx>
        <w:trPr>
          <w:trHeight w:val="387" w:hRule="atLeast"/>
          <w:jc w:val="center"/>
        </w:trPr>
        <w:tc>
          <w:tcPr>
            <w:tcW w:w="1047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风机盘管</w:t>
            </w: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风机电机</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台</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2</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液晶显示温控器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各型号、定制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3</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不锈钢托水盘</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各型号、定制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4</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风机盘管（格力1p-1.5p）</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改造增加</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台</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风机盘管（格力2p）</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改造增加</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台</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风机盘管（格力3p）</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改造增加</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台</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7</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风机盘管（格力5p）</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改造增加</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台</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8</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回风箱</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现场定制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台</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1047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风柜机</w:t>
            </w: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电动阀</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DN50，1.0MPA</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 w:val="22"/>
                <w:szCs w:val="22"/>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2</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变频器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7.5KW，380V/50HZ</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KW</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 w:val="22"/>
                <w:szCs w:val="22"/>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3</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风柜机更换轴承</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钜联或麦克维尔</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台</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 w:val="22"/>
                <w:szCs w:val="22"/>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4</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电机</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麦克维尔</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风机</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钜联或麦克维尔</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6</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深度清洗</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风柜机</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台</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1047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模块式风冷主机</w:t>
            </w: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压缩机</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约克YCAE065R</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四通阀</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华鹭</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集控器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约克YCAE065R</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4</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电子膨胀阀</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三花</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翅片换热器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约克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壳管式换热器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江森</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7</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风机扇叶</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钜联</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8</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主板</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约克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块</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9</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电源保护器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约克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10</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风扇电机</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约克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11</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空气开关</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100A以下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12</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过载保护器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100A以下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13</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交流接触器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100A以下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14</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温度传感器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10K</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15</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高压开关</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18-25</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16</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低压开关</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0.18/0.3</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1047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水冷空调主机</w:t>
            </w: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冷冻油</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约克，1加仑/桶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桶</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主板</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约克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压力传感器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约克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4</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显示器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约克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接触器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约克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防爆阀</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约克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7</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油过滤器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约克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8</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干燥过滤器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约克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9</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温度传感器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约克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10</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高压开关</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约克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11</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低压开关</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约克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12</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电子膨胀阀</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约克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10478" w:type="dxa"/>
            <w:gridSpan w:val="5"/>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冷却塔</w:t>
            </w: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风扇电机</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菱电</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布水器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减速器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4</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管道蝶阀</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卡尔斯(DN250)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5</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冷却塔风扇电机轴承</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各型号，通用配件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台</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 w:val="22"/>
                <w:szCs w:val="22"/>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6</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冷却塔扇叶</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各型号，通用配件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套</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 w:val="22"/>
                <w:szCs w:val="22"/>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7</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冷却塔胶水</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10L/桶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桶</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 w:val="22"/>
                <w:szCs w:val="22"/>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8</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冷却塔玻纤布</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5KG/件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件</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 w:val="22"/>
                <w:szCs w:val="22"/>
              </w:rPr>
            </w:pPr>
          </w:p>
        </w:tc>
      </w:tr>
      <w:tr>
        <w:tblPrEx>
          <w:tblCellMar>
            <w:top w:w="0" w:type="dxa"/>
            <w:left w:w="108" w:type="dxa"/>
            <w:bottom w:w="0" w:type="dxa"/>
            <w:right w:w="108" w:type="dxa"/>
          </w:tblCellMar>
        </w:tblPrEx>
        <w:trPr>
          <w:trHeight w:val="387" w:hRule="atLeast"/>
          <w:jc w:val="center"/>
        </w:trPr>
        <w:tc>
          <w:tcPr>
            <w:tcW w:w="10478" w:type="dxa"/>
            <w:gridSpan w:val="5"/>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水 泵</w:t>
            </w: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循环水泵水封</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适用于1KW-20kw</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2</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循环水泵水封</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适用于20.1KW-40kw</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3</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循环水泵轴承</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适用于1KW-20kw</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4</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循环水泵轴承</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适用于20.1KW-40kw</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5</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电机绕线</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适用于1KW-20kw</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6</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电机绕线</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适用于20.1KW-40kw</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7</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循环水泵叶轮</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现场型号为准</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8</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循环水泵扇叶</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现场型号为准</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9</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循环水泵水泵轴套</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现场型号为准</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 w:val="22"/>
                <w:szCs w:val="22"/>
              </w:rPr>
            </w:pPr>
          </w:p>
        </w:tc>
      </w:tr>
      <w:tr>
        <w:tblPrEx>
          <w:tblCellMar>
            <w:top w:w="0" w:type="dxa"/>
            <w:left w:w="108" w:type="dxa"/>
            <w:bottom w:w="0" w:type="dxa"/>
            <w:right w:w="108" w:type="dxa"/>
          </w:tblCellMar>
        </w:tblPrEx>
        <w:trPr>
          <w:trHeight w:val="387" w:hRule="atLeast"/>
          <w:jc w:val="center"/>
        </w:trPr>
        <w:tc>
          <w:tcPr>
            <w:tcW w:w="1047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通风系统</w:t>
            </w: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高效过滤器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1047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空调水系统</w:t>
            </w: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DN65阀门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卡尔斯</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DN80阀门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卡尔斯</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DN100阀门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卡尔斯</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4</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DN125阀门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卡尔斯</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DN150阀门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卡尔斯</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DN200阀门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卡尔斯</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7</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DN250阀门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卡尔斯</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8</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DN65软接</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静元</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9</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DN80软接</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静元</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10</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DN100软接</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静元</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11</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DN125软接</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静元</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12</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DN150软接</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静元</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13</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DN200软接</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静元</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14</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DN250软接</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静元</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15</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DN65止回阀</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卡尔斯</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16</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DN125止回阀</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卡尔斯</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17</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DN150止回阀</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卡尔斯</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644"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18</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设备安全阀</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安全管理和作业人员证，持证更换</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19</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橡塑保温棉</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B1级2CM厚</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卷</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 w:val="22"/>
                <w:szCs w:val="22"/>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20</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橡塑保温棉</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B1级3CM厚</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卷</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 w:val="22"/>
                <w:szCs w:val="22"/>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21</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橡塑保温棉胶水</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10KG/桶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桶</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 w:val="22"/>
                <w:szCs w:val="22"/>
              </w:rPr>
            </w:pPr>
          </w:p>
        </w:tc>
      </w:tr>
      <w:tr>
        <w:tblPrEx>
          <w:tblCellMar>
            <w:top w:w="0" w:type="dxa"/>
            <w:left w:w="108" w:type="dxa"/>
            <w:bottom w:w="0" w:type="dxa"/>
            <w:right w:w="108" w:type="dxa"/>
          </w:tblCellMar>
        </w:tblPrEx>
        <w:trPr>
          <w:trHeight w:val="387" w:hRule="atLeast"/>
          <w:jc w:val="center"/>
        </w:trPr>
        <w:tc>
          <w:tcPr>
            <w:tcW w:w="10478" w:type="dxa"/>
            <w:gridSpan w:val="5"/>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通用配件材料</w:t>
            </w: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水流量开关</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DN20-DN32</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 w:val="22"/>
                <w:szCs w:val="22"/>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2</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相序保护器</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380V/50HZ</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 w:val="22"/>
                <w:szCs w:val="22"/>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3</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冷媒</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R134a，13.6kg/瓶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瓶</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 w:val="22"/>
                <w:szCs w:val="22"/>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4</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冷媒</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R32，9.5kg/瓶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瓶</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 w:val="22"/>
                <w:szCs w:val="22"/>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5</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冷媒</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R22，22.7kg/瓶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瓶</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 w:val="22"/>
                <w:szCs w:val="22"/>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6</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冷媒</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R410，10kg/瓶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瓶</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 w:val="22"/>
                <w:szCs w:val="22"/>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7</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防锈油漆</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20KG</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桶</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 w:val="22"/>
                <w:szCs w:val="22"/>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8</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油漆稀剂</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20KG</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桶</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 w:val="22"/>
                <w:szCs w:val="22"/>
              </w:rPr>
            </w:pPr>
          </w:p>
        </w:tc>
      </w:tr>
      <w:tr>
        <w:tblPrEx>
          <w:tblCellMar>
            <w:top w:w="0" w:type="dxa"/>
            <w:left w:w="108" w:type="dxa"/>
            <w:bottom w:w="0" w:type="dxa"/>
            <w:right w:w="108" w:type="dxa"/>
          </w:tblCellMar>
        </w:tblPrEx>
        <w:trPr>
          <w:trHeight w:val="387" w:hRule="atLeast"/>
          <w:jc w:val="center"/>
        </w:trPr>
        <w:tc>
          <w:tcPr>
            <w:tcW w:w="1047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分体空调</w:t>
            </w: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1匹分体空调压缩机</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三洋或大金</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1.5匹分体空调压缩机</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三洋或大金</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2匹分体空调压缩机</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三洋或大金</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4</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3匹分体空调压缩机</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三洋或大金</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5匹分体空调压缩机</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三洋或大金</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1匹分体空调室内机电机</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格力、美的</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7</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1.5匹分体空调室内机电机</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格力、美的</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8</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2匹分体空调室内机电机</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格力、美的</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9</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3匹分体空调室内机电机</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格力、美的</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10</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5匹分体空调室内机电机</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格力、美的</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11</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1匹分体空调室外机电机</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格力、美的</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12</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1.5匹分体空调室外机电机</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格力、美的</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13</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2匹分体空调室外机电机</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格力、美的</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14</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3匹分体空调室外机电机</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格力、美的</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15</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5匹分体空调室外机电机</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格力、美的</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16</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1匹分体空调内机风轮</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格力、美的</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17</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1.5匹分体空调内机风轮</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格力、美的</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18</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2匹分体空调内机风轮</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格力、美的</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19</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3匹分体空调内机风轮</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格力、美的</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20</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5匹分体空调内机风轮</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格力、美的</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21</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1匹分体空调外机风叶</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格力、美的</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22</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1.5匹分体空调外机风叶</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格力、美的</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23</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2匹分体空调外机风叶</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格力、美的</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24</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3匹分体空调外机风叶</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格力、美的</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25</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5匹分体空调外机风叶</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格力、美的</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个</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26</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补充冷媒R22</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1-1.5匹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次</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27</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补充冷媒R22</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次</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28</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补充冷媒R22</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次</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29</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补充冷媒R22</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次</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30</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补充冷媒R410A</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1-1.5匹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次</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31</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补充冷媒R410A</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次</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32</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补充冷媒R410A</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次</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33</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补充冷媒R410A</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次</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34</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补充冷媒R32</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1-1.5匹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次</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35</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补充冷媒R32</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次</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36</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补充冷媒R32</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次</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37</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补充冷媒R32</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次</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38</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机组泄漏处理全加冷媒</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FF0000"/>
                <w:kern w:val="0"/>
                <w:szCs w:val="21"/>
                <w:lang w:bidi="ar"/>
              </w:rPr>
              <w:t>1-1.5匹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次</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39</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机组泄漏处理全加冷媒</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次</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40</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机组泄漏处理全加冷媒</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次</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41</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机组泄漏处理全加冷媒</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次</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42</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空调内机电路板</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块</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43</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空调内机电路板</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1.5匹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块</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44</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空调内机电路板</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块</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45</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空调内机电路板</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块</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46</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空调内机电路板</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块</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47</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空调外机电路板</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块</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48</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空调外机电路板</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1.5匹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块</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49</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空调外机电路板</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块</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50</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空调外机电路板</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块</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51</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空调外机电路板</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块</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52</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冷凝器更换3匹以下</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格力或同等品牌</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台</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53</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冷凝器更换5匹</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格力或同等品牌</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台</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54</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蒸发器更换3匹以下</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格力或同等品牌</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台</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55</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蒸发器更换5匹</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格力或同等品牌</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台</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56</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四通阀更换3匹以下</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格力或同等品牌</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台</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57</w:t>
            </w:r>
          </w:p>
        </w:tc>
        <w:tc>
          <w:tcPr>
            <w:tcW w:w="3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四通阀更换5匹</w:t>
            </w:r>
          </w:p>
        </w:tc>
        <w:tc>
          <w:tcPr>
            <w:tcW w:w="2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格力或同等品牌</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台</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58</w:t>
            </w:r>
          </w:p>
        </w:tc>
        <w:tc>
          <w:tcPr>
            <w:tcW w:w="9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分体机拆装价格</w:t>
            </w:r>
          </w:p>
        </w:tc>
      </w:tr>
      <w:tr>
        <w:tblPrEx>
          <w:tblCellMar>
            <w:top w:w="0" w:type="dxa"/>
            <w:left w:w="108" w:type="dxa"/>
            <w:bottom w:w="0" w:type="dxa"/>
            <w:right w:w="108" w:type="dxa"/>
          </w:tblCellMar>
        </w:tblPrEx>
        <w:trPr>
          <w:trHeight w:val="644"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59</w:t>
            </w:r>
          </w:p>
        </w:tc>
        <w:tc>
          <w:tcPr>
            <w:tcW w:w="9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1.5匹以下：单拆150元/台；拆装350元/台；加铜管80元/每米；排水80元/台；</w:t>
            </w:r>
            <w:r>
              <w:rPr>
                <w:rFonts w:hint="eastAsia" w:ascii="宋体" w:hAnsi="宋体" w:eastAsia="宋体" w:cs="宋体"/>
                <w:color w:val="FF0000"/>
                <w:kern w:val="0"/>
                <w:szCs w:val="21"/>
                <w:lang w:bidi="ar"/>
              </w:rPr>
              <w:t>外机支架80元；</w:t>
            </w:r>
            <w:r>
              <w:rPr>
                <w:rFonts w:hint="eastAsia" w:ascii="宋体" w:hAnsi="宋体" w:eastAsia="宋体" w:cs="宋体"/>
                <w:color w:val="000000"/>
                <w:kern w:val="0"/>
                <w:szCs w:val="21"/>
                <w:lang w:bidi="ar"/>
              </w:rPr>
              <w:t>打墙孔80元/个。</w:t>
            </w:r>
          </w:p>
        </w:tc>
      </w:tr>
      <w:tr>
        <w:tblPrEx>
          <w:tblCellMar>
            <w:top w:w="0" w:type="dxa"/>
            <w:left w:w="108" w:type="dxa"/>
            <w:bottom w:w="0" w:type="dxa"/>
            <w:right w:w="108" w:type="dxa"/>
          </w:tblCellMar>
        </w:tblPrEx>
        <w:trPr>
          <w:trHeight w:val="644"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60</w:t>
            </w:r>
          </w:p>
        </w:tc>
        <w:tc>
          <w:tcPr>
            <w:tcW w:w="9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2匹：单拆200元/台；拆装450元/台；加铜管90元/每米；排水100元/台；</w:t>
            </w:r>
            <w:r>
              <w:rPr>
                <w:rFonts w:hint="eastAsia" w:ascii="宋体" w:hAnsi="宋体" w:eastAsia="宋体" w:cs="宋体"/>
                <w:color w:val="FF0000"/>
                <w:kern w:val="0"/>
                <w:szCs w:val="21"/>
                <w:lang w:bidi="ar"/>
              </w:rPr>
              <w:t>外机支架100元；</w:t>
            </w:r>
            <w:r>
              <w:rPr>
                <w:rFonts w:hint="eastAsia" w:ascii="宋体" w:hAnsi="宋体" w:eastAsia="宋体" w:cs="宋体"/>
                <w:color w:val="000000"/>
                <w:kern w:val="0"/>
                <w:szCs w:val="21"/>
                <w:lang w:bidi="ar"/>
              </w:rPr>
              <w:t>打墙孔80元/个。</w:t>
            </w:r>
          </w:p>
        </w:tc>
      </w:tr>
      <w:tr>
        <w:tblPrEx>
          <w:tblCellMar>
            <w:top w:w="0" w:type="dxa"/>
            <w:left w:w="108" w:type="dxa"/>
            <w:bottom w:w="0" w:type="dxa"/>
            <w:right w:w="108" w:type="dxa"/>
          </w:tblCellMar>
        </w:tblPrEx>
        <w:trPr>
          <w:trHeight w:val="644"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61</w:t>
            </w:r>
          </w:p>
        </w:tc>
        <w:tc>
          <w:tcPr>
            <w:tcW w:w="9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3匹，单拆280元/台，拆装600元/台，加铜管120元/每米；排水120元/台；</w:t>
            </w:r>
            <w:r>
              <w:rPr>
                <w:rFonts w:hint="eastAsia" w:ascii="宋体" w:hAnsi="宋体" w:eastAsia="宋体" w:cs="宋体"/>
                <w:color w:val="FF0000"/>
                <w:kern w:val="0"/>
                <w:szCs w:val="21"/>
                <w:lang w:bidi="ar"/>
              </w:rPr>
              <w:t>外机支架120元；</w:t>
            </w:r>
            <w:r>
              <w:rPr>
                <w:rFonts w:hint="eastAsia" w:ascii="宋体" w:hAnsi="宋体" w:eastAsia="宋体" w:cs="宋体"/>
                <w:color w:val="000000"/>
                <w:kern w:val="0"/>
                <w:szCs w:val="21"/>
                <w:lang w:bidi="ar"/>
              </w:rPr>
              <w:t>打墙孔80元/个。</w:t>
            </w:r>
          </w:p>
        </w:tc>
      </w:tr>
      <w:tr>
        <w:tblPrEx>
          <w:tblCellMar>
            <w:top w:w="0" w:type="dxa"/>
            <w:left w:w="108" w:type="dxa"/>
            <w:bottom w:w="0" w:type="dxa"/>
            <w:right w:w="108" w:type="dxa"/>
          </w:tblCellMar>
        </w:tblPrEx>
        <w:trPr>
          <w:trHeight w:val="644"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62</w:t>
            </w:r>
          </w:p>
        </w:tc>
        <w:tc>
          <w:tcPr>
            <w:tcW w:w="9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5匹，单拆450元/台，拆装950元/台，加铜管180元/每米；排水180元/台；</w:t>
            </w:r>
            <w:r>
              <w:rPr>
                <w:rFonts w:hint="eastAsia" w:ascii="宋体" w:hAnsi="宋体" w:eastAsia="宋体" w:cs="宋体"/>
                <w:color w:val="FF0000"/>
                <w:kern w:val="0"/>
                <w:szCs w:val="21"/>
                <w:lang w:bidi="ar"/>
              </w:rPr>
              <w:t>外机支架200元；</w:t>
            </w:r>
            <w:r>
              <w:rPr>
                <w:rFonts w:hint="eastAsia" w:ascii="宋体" w:hAnsi="宋体" w:eastAsia="宋体" w:cs="宋体"/>
                <w:color w:val="000000"/>
                <w:kern w:val="0"/>
                <w:szCs w:val="21"/>
                <w:lang w:bidi="ar"/>
              </w:rPr>
              <w:t>打墙孔100元/个。</w:t>
            </w: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63</w:t>
            </w:r>
          </w:p>
        </w:tc>
        <w:tc>
          <w:tcPr>
            <w:tcW w:w="9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FF0000"/>
                <w:szCs w:val="21"/>
              </w:rPr>
            </w:pPr>
            <w:r>
              <w:rPr>
                <w:rFonts w:hint="eastAsia" w:ascii="宋体" w:hAnsi="宋体" w:eastAsia="宋体" w:cs="宋体"/>
                <w:color w:val="FF0000"/>
                <w:kern w:val="0"/>
                <w:szCs w:val="21"/>
                <w:lang w:bidi="ar"/>
              </w:rPr>
              <w:t>排水管改造：de25 40元/米，de32 55元/米，de40 70元/米</w:t>
            </w:r>
          </w:p>
        </w:tc>
      </w:tr>
      <w:tr>
        <w:tblPrEx>
          <w:tblCellMar>
            <w:top w:w="0" w:type="dxa"/>
            <w:left w:w="108" w:type="dxa"/>
            <w:bottom w:w="0" w:type="dxa"/>
            <w:right w:w="108" w:type="dxa"/>
          </w:tblCellMar>
        </w:tblPrEx>
        <w:trPr>
          <w:trHeight w:val="387"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64</w:t>
            </w:r>
          </w:p>
        </w:tc>
        <w:tc>
          <w:tcPr>
            <w:tcW w:w="9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高空作业需另行收取作业费。</w:t>
            </w:r>
          </w:p>
        </w:tc>
      </w:tr>
      <w:tr>
        <w:tblPrEx>
          <w:tblCellMar>
            <w:top w:w="0" w:type="dxa"/>
            <w:left w:w="108" w:type="dxa"/>
            <w:bottom w:w="0" w:type="dxa"/>
            <w:right w:w="108" w:type="dxa"/>
          </w:tblCellMar>
        </w:tblPrEx>
        <w:trPr>
          <w:trHeight w:val="651"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65</w:t>
            </w:r>
          </w:p>
        </w:tc>
        <w:tc>
          <w:tcPr>
            <w:tcW w:w="9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收费标准：</w:t>
            </w:r>
            <w:r>
              <w:rPr>
                <w:rFonts w:hint="eastAsia" w:ascii="宋体" w:hAnsi="宋体" w:eastAsia="宋体" w:cs="宋体"/>
                <w:color w:val="000000"/>
                <w:kern w:val="0"/>
                <w:sz w:val="22"/>
                <w:szCs w:val="22"/>
                <w:lang w:bidi="ar"/>
              </w:rPr>
              <w:t>3楼以下免费，4楼以上150元/套，同一套房内500封顶；阳台内作业，免收高空费；</w:t>
            </w:r>
          </w:p>
        </w:tc>
      </w:tr>
    </w:tbl>
    <w:p>
      <w:pPr>
        <w:tabs>
          <w:tab w:val="left" w:pos="1065"/>
        </w:tabs>
        <w:adjustRightInd w:val="0"/>
        <w:snapToGrid w:val="0"/>
        <w:spacing w:line="300" w:lineRule="auto"/>
        <w:rPr>
          <w:rFonts w:ascii="仿宋_GB2312" w:hAnsi="宋体" w:eastAsia="仿宋_GB2312" w:cs="Times New Roman"/>
          <w:b/>
          <w:bCs/>
          <w:sz w:val="24"/>
        </w:rPr>
      </w:pPr>
      <w:r>
        <w:rPr>
          <w:rFonts w:ascii="仿宋_GB2312" w:hAnsi="宋体" w:eastAsia="仿宋_GB2312" w:cs="Times New Roman"/>
          <w:b/>
          <w:bCs/>
          <w:sz w:val="24"/>
        </w:rPr>
        <w:tab/>
      </w:r>
    </w:p>
    <w:p>
      <w:pPr>
        <w:tabs>
          <w:tab w:val="left" w:pos="1065"/>
        </w:tabs>
        <w:adjustRightInd w:val="0"/>
        <w:snapToGrid w:val="0"/>
        <w:spacing w:line="300" w:lineRule="auto"/>
        <w:rPr>
          <w:rFonts w:ascii="仿宋_GB2312" w:hAnsi="宋体" w:eastAsia="仿宋_GB2312" w:cs="Times New Roman"/>
          <w:b/>
          <w:bCs/>
          <w:sz w:val="24"/>
          <w:highlight w:val="yellow"/>
        </w:rPr>
      </w:pPr>
    </w:p>
    <w:p>
      <w:pPr>
        <w:widowControl/>
        <w:jc w:val="left"/>
        <w:rPr>
          <w:rFonts w:ascii="仿宋_GB2312" w:hAnsi="宋体" w:eastAsia="仿宋_GB2312" w:cs="Times New Roman"/>
          <w:b/>
          <w:bCs/>
          <w:sz w:val="24"/>
          <w:highlight w:val="yellow"/>
        </w:rPr>
      </w:pPr>
      <w:r>
        <w:rPr>
          <w:rFonts w:ascii="仿宋_GB2312" w:hAnsi="宋体" w:eastAsia="仿宋_GB2312" w:cs="Times New Roman"/>
          <w:b/>
          <w:bCs/>
          <w:sz w:val="24"/>
          <w:highlight w:val="yellow"/>
        </w:rPr>
        <w:br w:type="page"/>
      </w:r>
    </w:p>
    <w:p>
      <w:pPr>
        <w:tabs>
          <w:tab w:val="left" w:pos="1065"/>
        </w:tabs>
        <w:adjustRightInd w:val="0"/>
        <w:snapToGrid w:val="0"/>
        <w:spacing w:line="300" w:lineRule="auto"/>
        <w:rPr>
          <w:rFonts w:ascii="宋体" w:hAnsi="宋体" w:eastAsia="宋体" w:cs="Arial"/>
          <w:b/>
          <w:sz w:val="28"/>
          <w:szCs w:val="21"/>
          <w:highlight w:val="yellow"/>
        </w:rPr>
      </w:pPr>
      <w:r>
        <w:rPr>
          <w:rFonts w:hint="eastAsia" w:ascii="宋体" w:hAnsi="宋体" w:eastAsia="宋体" w:cs="Arial"/>
          <w:b/>
          <w:sz w:val="28"/>
          <w:szCs w:val="21"/>
          <w:highlight w:val="yellow"/>
        </w:rPr>
        <w:t>免费提供中央空调300元以下配件、分体空调100元以下配件清单</w:t>
      </w:r>
    </w:p>
    <w:tbl>
      <w:tblPr>
        <w:tblStyle w:val="9"/>
        <w:tblW w:w="10318" w:type="dxa"/>
        <w:jc w:val="center"/>
        <w:tblLayout w:type="fixed"/>
        <w:tblCellMar>
          <w:top w:w="0" w:type="dxa"/>
          <w:left w:w="108" w:type="dxa"/>
          <w:bottom w:w="0" w:type="dxa"/>
          <w:right w:w="108" w:type="dxa"/>
        </w:tblCellMar>
      </w:tblPr>
      <w:tblGrid>
        <w:gridCol w:w="779"/>
        <w:gridCol w:w="2648"/>
        <w:gridCol w:w="811"/>
        <w:gridCol w:w="2388"/>
        <w:gridCol w:w="1403"/>
        <w:gridCol w:w="1415"/>
        <w:gridCol w:w="874"/>
      </w:tblGrid>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序号</w:t>
            </w:r>
          </w:p>
        </w:tc>
        <w:tc>
          <w:tcPr>
            <w:tcW w:w="2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配件名称</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单位</w:t>
            </w:r>
          </w:p>
        </w:tc>
        <w:tc>
          <w:tcPr>
            <w:tcW w:w="23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规格型号</w:t>
            </w:r>
          </w:p>
        </w:tc>
        <w:tc>
          <w:tcPr>
            <w:tcW w:w="14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品牌</w:t>
            </w:r>
          </w:p>
        </w:tc>
        <w:tc>
          <w:tcPr>
            <w:tcW w:w="14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单价（元）</w:t>
            </w:r>
          </w:p>
        </w:tc>
        <w:tc>
          <w:tcPr>
            <w:tcW w:w="8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备注</w:t>
            </w:r>
          </w:p>
        </w:tc>
      </w:tr>
      <w:tr>
        <w:tblPrEx>
          <w:tblCellMar>
            <w:top w:w="0" w:type="dxa"/>
            <w:left w:w="108" w:type="dxa"/>
            <w:bottom w:w="0" w:type="dxa"/>
            <w:right w:w="108" w:type="dxa"/>
          </w:tblCellMar>
        </w:tblPrEx>
        <w:trPr>
          <w:trHeight w:val="473" w:hRule="atLeast"/>
          <w:jc w:val="center"/>
        </w:trPr>
        <w:tc>
          <w:tcPr>
            <w:tcW w:w="10318"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中央空调配件</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管道压力表</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块</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DN50以内（含）</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85.00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管道温度计</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DN50以内（含）</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125.00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3</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铜闸阀</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DN50以内（含）</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280.00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Y型过滤器</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DN50以内（含）</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250.00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5</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电动二通闸</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DN50以内（含）</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275.00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6</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机械温控器</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220V\50HZ</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262.00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7</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不锈钢软接</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DN40以内（含）</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280.00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8</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波纹管</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DN40以内（含）</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250.00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9</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铜线耳</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100.00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电柜按钮</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180.00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11</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熔断器芯</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120.00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12</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按钮指示灯</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130.00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13</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继电器</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140.00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14</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盐酸</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桶</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290.00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15</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导热膏</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250.00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16</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电机接线座</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180.00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17</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水管托架</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180.00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18</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保温材料</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米</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DN32</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150.00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19</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水泵缓冲胶</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280.00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20</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皮带</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条</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95.00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21</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轴承</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5.5kw</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150.00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22</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轴承</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15kw</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280.00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23</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风机盘管风轮</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160.00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24</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冷却塔皮带</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条</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117.00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25</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叶轮O圈</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239.00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26</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时间继电器</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192.00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27</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黄油</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包</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1KG/包</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196.00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28</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保险管</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28.00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29</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橡塑胶带</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50mm宽*46m长</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175.00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30</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管道沟槽卡箍</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DN50以内（含）</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192.00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31</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三相插头</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16A</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81.00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32</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紧急启动按钮</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AY5721</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107.00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33</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橡胶垫片</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71.00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34</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除锈剂</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49.00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35</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顶针阀</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115.00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36</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自动排气阀</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DN20</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217.00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37</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冷却塔浮球阀</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DN25</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285.00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10318"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分体空调配件</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摇控器</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1p、1.5p、2p、3p、5p</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50.00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换电源变压器</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1p-2p</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80.00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3</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换电源变压器</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3p-5p</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 xml:space="preserve">100.00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电容</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1p-2p</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70.00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5</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电容</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3p-5p</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100.00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6</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空调温度传感器（管温）</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 w:val="22"/>
                <w:szCs w:val="22"/>
              </w:rPr>
            </w:pPr>
            <w:r>
              <w:rPr>
                <w:rFonts w:hint="eastAsia" w:ascii="宋体" w:hAnsi="宋体" w:eastAsia="宋体" w:cs="宋体"/>
                <w:color w:val="FF0000"/>
                <w:sz w:val="22"/>
                <w:szCs w:val="22"/>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1p-2p</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80.00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7</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空调温度传感器（管温）</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3p-5p</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95.00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8</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轴承</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90.00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9</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包扎带</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10.00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10</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生料带</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8.00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11</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银焊条</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20CM</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38.00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12</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电池</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35.00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473"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13</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火机气体</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49.00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r>
        <w:tblPrEx>
          <w:tblCellMar>
            <w:top w:w="0" w:type="dxa"/>
            <w:left w:w="108" w:type="dxa"/>
            <w:bottom w:w="0" w:type="dxa"/>
            <w:right w:w="108" w:type="dxa"/>
          </w:tblCellMar>
        </w:tblPrEx>
        <w:trPr>
          <w:trHeight w:val="508" w:hRule="atLeast"/>
          <w:jc w:val="center"/>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14</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侧装接触器辅助头</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个</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按样购买</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 xml:space="preserve">93.00 </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FF0000"/>
                <w:sz w:val="22"/>
                <w:szCs w:val="22"/>
              </w:rPr>
            </w:pPr>
            <w:r>
              <w:rPr>
                <w:rFonts w:hint="eastAsia" w:ascii="宋体" w:hAnsi="宋体" w:eastAsia="宋体" w:cs="宋体"/>
                <w:color w:val="FF0000"/>
                <w:kern w:val="0"/>
                <w:sz w:val="22"/>
                <w:szCs w:val="22"/>
                <w:lang w:bidi="ar"/>
              </w:rPr>
              <w:t>免费</w:t>
            </w:r>
          </w:p>
        </w:tc>
      </w:tr>
    </w:tbl>
    <w:p>
      <w:pPr>
        <w:widowControl/>
        <w:jc w:val="left"/>
      </w:pPr>
      <w:r>
        <w:br w:type="page"/>
      </w:r>
    </w:p>
    <w:p>
      <w:pPr>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附件1</w:t>
      </w:r>
    </w:p>
    <w:p>
      <w:pPr>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外包服务质量管理评审表</w:t>
      </w:r>
    </w:p>
    <w:p>
      <w:pPr>
        <w:jc w:val="left"/>
        <w:rPr>
          <w:rFonts w:ascii="仿宋" w:hAnsi="仿宋" w:eastAsia="仿宋"/>
          <w:sz w:val="24"/>
          <w:szCs w:val="22"/>
        </w:rPr>
      </w:pPr>
      <w:r>
        <w:rPr>
          <w:rFonts w:hint="eastAsia" w:ascii="仿宋" w:hAnsi="仿宋" w:eastAsia="仿宋"/>
          <w:sz w:val="24"/>
        </w:rPr>
        <w:t>表格编号：</w:t>
      </w:r>
    </w:p>
    <w:tbl>
      <w:tblPr>
        <w:tblStyle w:val="10"/>
        <w:tblW w:w="93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8"/>
        <w:gridCol w:w="4079"/>
        <w:gridCol w:w="2185"/>
        <w:gridCol w:w="1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4"/>
                <w:szCs w:val="20"/>
              </w:rPr>
            </w:pPr>
            <w:r>
              <w:rPr>
                <w:rFonts w:hint="eastAsia" w:ascii="仿宋" w:hAnsi="仿宋" w:eastAsia="仿宋"/>
                <w:kern w:val="0"/>
                <w:sz w:val="24"/>
              </w:rPr>
              <w:t>项目名称</w:t>
            </w:r>
          </w:p>
        </w:tc>
        <w:tc>
          <w:tcPr>
            <w:tcW w:w="7721" w:type="dxa"/>
            <w:gridSpan w:val="3"/>
            <w:tcBorders>
              <w:top w:val="single" w:color="auto" w:sz="4" w:space="0"/>
              <w:left w:val="single" w:color="auto" w:sz="4" w:space="0"/>
              <w:bottom w:val="single" w:color="auto" w:sz="4" w:space="0"/>
              <w:right w:val="single" w:color="auto" w:sz="4" w:space="0"/>
            </w:tcBorders>
          </w:tcPr>
          <w:p>
            <w:pPr>
              <w:jc w:val="center"/>
              <w:rPr>
                <w:rFonts w:ascii="仿宋" w:hAnsi="仿宋" w:eastAsia="仿宋"/>
                <w:kern w:val="0"/>
                <w:sz w:val="24"/>
                <w:szCs w:val="20"/>
              </w:rPr>
            </w:pPr>
            <w:r>
              <w:rPr>
                <w:rFonts w:hint="eastAsia" w:ascii="仿宋" w:hAnsi="仿宋" w:eastAsia="仿宋" w:cs="仿宋"/>
                <w:kern w:val="0"/>
                <w:sz w:val="24"/>
              </w:rPr>
              <w:t>空调设备维保服务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4"/>
                <w:szCs w:val="20"/>
              </w:rPr>
            </w:pPr>
            <w:r>
              <w:rPr>
                <w:rFonts w:hint="eastAsia" w:ascii="仿宋" w:hAnsi="仿宋" w:eastAsia="仿宋"/>
                <w:kern w:val="0"/>
                <w:sz w:val="24"/>
              </w:rPr>
              <w:t>外包单位及联系人</w:t>
            </w:r>
          </w:p>
        </w:tc>
        <w:tc>
          <w:tcPr>
            <w:tcW w:w="7721" w:type="dxa"/>
            <w:gridSpan w:val="3"/>
            <w:tcBorders>
              <w:top w:val="single" w:color="auto" w:sz="4" w:space="0"/>
              <w:left w:val="single" w:color="auto" w:sz="4" w:space="0"/>
              <w:bottom w:val="single" w:color="auto" w:sz="4" w:space="0"/>
              <w:right w:val="single" w:color="auto" w:sz="4" w:space="0"/>
            </w:tcBorders>
          </w:tcPr>
          <w:p>
            <w:pPr>
              <w:rPr>
                <w:rFonts w:ascii="仿宋" w:hAnsi="仿宋" w:eastAsia="仿宋" w:cs="Times New Roman"/>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59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4"/>
                <w:szCs w:val="20"/>
              </w:rPr>
            </w:pPr>
            <w:r>
              <w:rPr>
                <w:rFonts w:hint="eastAsia" w:ascii="仿宋" w:hAnsi="仿宋" w:eastAsia="仿宋"/>
                <w:kern w:val="0"/>
                <w:sz w:val="24"/>
              </w:rPr>
              <w:t>考核期间及周期</w:t>
            </w:r>
          </w:p>
        </w:tc>
        <w:tc>
          <w:tcPr>
            <w:tcW w:w="4079" w:type="dxa"/>
            <w:tcBorders>
              <w:top w:val="single" w:color="auto" w:sz="4" w:space="0"/>
              <w:left w:val="single" w:color="auto" w:sz="4" w:space="0"/>
              <w:bottom w:val="single" w:color="auto" w:sz="4" w:space="0"/>
              <w:right w:val="single" w:color="auto" w:sz="4" w:space="0"/>
            </w:tcBorders>
          </w:tcPr>
          <w:p>
            <w:pPr>
              <w:ind w:firstLine="720" w:firstLineChars="300"/>
              <w:rPr>
                <w:rFonts w:ascii="仿宋" w:hAnsi="仿宋" w:eastAsia="仿宋"/>
                <w:kern w:val="0"/>
                <w:sz w:val="24"/>
                <w:szCs w:val="20"/>
              </w:rPr>
            </w:pPr>
            <w:r>
              <w:rPr>
                <w:rFonts w:hint="eastAsia" w:ascii="仿宋" w:hAnsi="仿宋" w:eastAsia="仿宋"/>
                <w:kern w:val="0"/>
                <w:sz w:val="24"/>
              </w:rPr>
              <w:t>年   月  -  月</w:t>
            </w:r>
          </w:p>
        </w:tc>
        <w:tc>
          <w:tcPr>
            <w:tcW w:w="2185" w:type="dxa"/>
            <w:vMerge w:val="restart"/>
            <w:tcBorders>
              <w:top w:val="single" w:color="auto" w:sz="4" w:space="0"/>
              <w:left w:val="single" w:color="auto" w:sz="4" w:space="0"/>
              <w:bottom w:val="single" w:color="auto" w:sz="4" w:space="0"/>
              <w:right w:val="single" w:color="auto" w:sz="4" w:space="0"/>
            </w:tcBorders>
          </w:tcPr>
          <w:p>
            <w:pPr>
              <w:jc w:val="center"/>
              <w:rPr>
                <w:rFonts w:ascii="仿宋" w:hAnsi="仿宋" w:eastAsia="仿宋"/>
                <w:kern w:val="0"/>
                <w:sz w:val="24"/>
                <w:szCs w:val="20"/>
              </w:rPr>
            </w:pPr>
            <w:r>
              <w:rPr>
                <w:rFonts w:hint="eastAsia" w:ascii="仿宋" w:hAnsi="仿宋" w:eastAsia="仿宋"/>
                <w:kern w:val="0"/>
                <w:sz w:val="24"/>
              </w:rPr>
              <w:t>考核部门</w:t>
            </w:r>
          </w:p>
        </w:tc>
        <w:tc>
          <w:tcPr>
            <w:tcW w:w="1457" w:type="dxa"/>
            <w:vMerge w:val="restart"/>
            <w:tcBorders>
              <w:top w:val="single" w:color="auto" w:sz="4" w:space="0"/>
              <w:left w:val="single" w:color="auto" w:sz="4" w:space="0"/>
              <w:bottom w:val="single" w:color="auto" w:sz="4" w:space="0"/>
              <w:right w:val="single" w:color="auto" w:sz="4" w:space="0"/>
            </w:tcBorders>
          </w:tcPr>
          <w:p>
            <w:pPr>
              <w:jc w:val="center"/>
              <w:rPr>
                <w:rFonts w:ascii="仿宋" w:hAnsi="仿宋" w:eastAsia="仿宋"/>
                <w:kern w:val="0"/>
                <w:sz w:val="24"/>
                <w:szCs w:val="20"/>
              </w:rPr>
            </w:pPr>
            <w:r>
              <w:rPr>
                <w:rFonts w:hint="eastAsia" w:ascii="仿宋" w:hAnsi="仿宋" w:eastAsia="仿宋"/>
                <w:kern w:val="0"/>
                <w:sz w:val="24"/>
              </w:rPr>
              <w:t>后勤办公室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598"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Times New Roman"/>
                <w:kern w:val="0"/>
                <w:sz w:val="24"/>
                <w:szCs w:val="20"/>
              </w:rPr>
            </w:pPr>
          </w:p>
        </w:tc>
        <w:tc>
          <w:tcPr>
            <w:tcW w:w="4079" w:type="dxa"/>
            <w:tcBorders>
              <w:top w:val="single" w:color="auto" w:sz="4" w:space="0"/>
              <w:left w:val="single" w:color="auto" w:sz="4" w:space="0"/>
              <w:bottom w:val="single" w:color="auto" w:sz="4" w:space="0"/>
              <w:right w:val="single" w:color="auto" w:sz="4" w:space="0"/>
            </w:tcBorders>
          </w:tcPr>
          <w:p>
            <w:pPr>
              <w:rPr>
                <w:rFonts w:ascii="仿宋" w:hAnsi="仿宋" w:eastAsia="仿宋"/>
                <w:kern w:val="0"/>
                <w:sz w:val="24"/>
                <w:szCs w:val="20"/>
              </w:rPr>
            </w:pPr>
            <w:r>
              <w:rPr>
                <w:rFonts w:hint="eastAsia" w:ascii="仿宋" w:hAnsi="仿宋" w:eastAsia="仿宋"/>
                <w:kern w:val="0"/>
                <w:sz w:val="24"/>
              </w:rPr>
              <w:t>年度考核</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Times New Roman"/>
                <w:kern w:val="0"/>
                <w:sz w:val="24"/>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Times New Roman"/>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5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24"/>
                <w:szCs w:val="20"/>
              </w:rPr>
            </w:pPr>
            <w:r>
              <w:rPr>
                <w:rFonts w:hint="eastAsia" w:ascii="仿宋" w:hAnsi="仿宋" w:eastAsia="仿宋"/>
                <w:kern w:val="0"/>
                <w:sz w:val="24"/>
              </w:rPr>
              <w:t>考核项目</w:t>
            </w:r>
          </w:p>
        </w:tc>
        <w:tc>
          <w:tcPr>
            <w:tcW w:w="626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rFonts w:ascii="仿宋" w:hAnsi="仿宋" w:eastAsia="仿宋"/>
                <w:kern w:val="0"/>
                <w:sz w:val="24"/>
                <w:szCs w:val="20"/>
              </w:rPr>
            </w:pPr>
            <w:r>
              <w:rPr>
                <w:rFonts w:hint="eastAsia" w:ascii="仿宋" w:hAnsi="仿宋" w:eastAsia="仿宋"/>
                <w:kern w:val="0"/>
                <w:sz w:val="24"/>
              </w:rPr>
              <w:t>考核内容</w:t>
            </w:r>
          </w:p>
        </w:tc>
        <w:tc>
          <w:tcPr>
            <w:tcW w:w="1457"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kern w:val="0"/>
                <w:sz w:val="24"/>
                <w:szCs w:val="20"/>
              </w:rPr>
            </w:pPr>
            <w:r>
              <w:rPr>
                <w:rFonts w:hint="eastAsia" w:ascii="仿宋" w:hAnsi="仿宋" w:eastAsia="仿宋"/>
                <w:kern w:val="0"/>
                <w:sz w:val="24"/>
              </w:rPr>
              <w:t>考核结果</w:t>
            </w:r>
          </w:p>
          <w:p>
            <w:pPr>
              <w:jc w:val="center"/>
              <w:rPr>
                <w:rFonts w:ascii="仿宋" w:hAnsi="仿宋" w:eastAsia="仿宋"/>
                <w:kern w:val="0"/>
                <w:sz w:val="24"/>
                <w:szCs w:val="20"/>
              </w:rPr>
            </w:pPr>
            <w:r>
              <w:rPr>
                <w:rFonts w:hint="eastAsia" w:ascii="仿宋" w:hAnsi="仿宋" w:eastAsia="仿宋"/>
                <w:kern w:val="0"/>
                <w:sz w:val="24"/>
              </w:rPr>
              <w:t>（分数）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0" w:hRule="atLeast"/>
        </w:trPr>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4"/>
                <w:szCs w:val="20"/>
              </w:rPr>
            </w:pPr>
          </w:p>
          <w:p>
            <w:pPr>
              <w:jc w:val="center"/>
              <w:rPr>
                <w:rFonts w:ascii="仿宋" w:hAnsi="仿宋" w:eastAsia="仿宋"/>
                <w:kern w:val="0"/>
                <w:sz w:val="24"/>
                <w:szCs w:val="20"/>
              </w:rPr>
            </w:pPr>
            <w:r>
              <w:rPr>
                <w:rFonts w:hint="eastAsia" w:ascii="仿宋" w:hAnsi="仿宋" w:eastAsia="仿宋"/>
                <w:kern w:val="0"/>
                <w:sz w:val="24"/>
              </w:rPr>
              <w:t>及时性（</w:t>
            </w:r>
            <w:r>
              <w:rPr>
                <w:rFonts w:ascii="仿宋" w:hAnsi="仿宋" w:eastAsia="仿宋"/>
                <w:kern w:val="0"/>
                <w:sz w:val="24"/>
              </w:rPr>
              <w:t>25</w:t>
            </w:r>
            <w:r>
              <w:rPr>
                <w:rFonts w:hint="eastAsia" w:ascii="仿宋" w:hAnsi="仿宋" w:eastAsia="仿宋"/>
                <w:kern w:val="0"/>
                <w:sz w:val="24"/>
              </w:rPr>
              <w:t>分）</w:t>
            </w:r>
          </w:p>
        </w:tc>
        <w:tc>
          <w:tcPr>
            <w:tcW w:w="6264" w:type="dxa"/>
            <w:gridSpan w:val="2"/>
            <w:tcBorders>
              <w:top w:val="single" w:color="auto" w:sz="4" w:space="0"/>
              <w:left w:val="single" w:color="auto" w:sz="4" w:space="0"/>
              <w:bottom w:val="single" w:color="auto" w:sz="4" w:space="0"/>
              <w:right w:val="single" w:color="auto" w:sz="4" w:space="0"/>
            </w:tcBorders>
          </w:tcPr>
          <w:p>
            <w:pPr>
              <w:jc w:val="left"/>
              <w:rPr>
                <w:rFonts w:ascii="仿宋" w:hAnsi="仿宋" w:eastAsia="仿宋"/>
                <w:kern w:val="0"/>
                <w:sz w:val="24"/>
              </w:rPr>
            </w:pPr>
            <w:r>
              <w:rPr>
                <w:rFonts w:hint="eastAsia" w:ascii="仿宋" w:hAnsi="仿宋" w:eastAsia="仿宋"/>
                <w:kern w:val="0"/>
                <w:sz w:val="24"/>
              </w:rPr>
              <w:t>1. 安排专人和专线电话接收故障通知，提供 24 小时设备故障维修服务，接到故障通知后 30 分钟内到现场进行维修处理，未按时到达每次扣 2 分，未提供专线电话扣 3 分，无专人对接扣 3 分（15 分）。</w:t>
            </w:r>
          </w:p>
          <w:p>
            <w:pPr>
              <w:jc w:val="left"/>
              <w:rPr>
                <w:rFonts w:ascii="仿宋" w:hAnsi="仿宋" w:eastAsia="仿宋"/>
                <w:kern w:val="0"/>
                <w:sz w:val="24"/>
              </w:rPr>
            </w:pPr>
            <w:r>
              <w:rPr>
                <w:rFonts w:hint="eastAsia" w:ascii="仿宋" w:hAnsi="仿宋" w:eastAsia="仿宋"/>
                <w:kern w:val="0"/>
                <w:sz w:val="24"/>
              </w:rPr>
              <w:t>2. 遇不能即时修复影响系统正常运作的故障，需在 1 小时内书面通知采购人并制定临时补救措施，无书面通知每次扣 2 分，无临时补救措施每次扣 2 分（5 分）。</w:t>
            </w:r>
          </w:p>
          <w:p>
            <w:pPr>
              <w:jc w:val="left"/>
              <w:rPr>
                <w:rFonts w:ascii="仿宋" w:hAnsi="仿宋" w:eastAsia="仿宋"/>
                <w:kern w:val="0"/>
                <w:sz w:val="24"/>
              </w:rPr>
            </w:pPr>
            <w:r>
              <w:rPr>
                <w:rFonts w:hint="eastAsia" w:ascii="仿宋" w:hAnsi="仿宋" w:eastAsia="仿宋"/>
                <w:kern w:val="0"/>
                <w:sz w:val="24"/>
              </w:rPr>
              <w:t>3. 按规定时间提交月度、年度保养报告及工作报告，延迟提交每次扣 1 分，报告内容缺失关键信息每次扣 1 分（5 分）</w:t>
            </w:r>
          </w:p>
        </w:tc>
        <w:tc>
          <w:tcPr>
            <w:tcW w:w="1457" w:type="dxa"/>
            <w:tcBorders>
              <w:top w:val="single" w:color="auto" w:sz="4" w:space="0"/>
              <w:left w:val="single" w:color="auto" w:sz="4" w:space="0"/>
              <w:bottom w:val="single" w:color="auto" w:sz="4" w:space="0"/>
              <w:right w:val="single" w:color="auto" w:sz="4" w:space="0"/>
            </w:tcBorders>
          </w:tcPr>
          <w:p>
            <w:pPr>
              <w:jc w:val="left"/>
              <w:rPr>
                <w:rFonts w:ascii="仿宋" w:hAnsi="仿宋" w:eastAsia="仿宋"/>
                <w:kern w:val="0"/>
                <w:sz w:val="2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9" w:hRule="atLeast"/>
        </w:trPr>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4"/>
                <w:szCs w:val="20"/>
              </w:rPr>
            </w:pPr>
          </w:p>
          <w:p>
            <w:pPr>
              <w:jc w:val="center"/>
              <w:rPr>
                <w:rFonts w:ascii="仿宋" w:hAnsi="仿宋" w:eastAsia="仿宋"/>
                <w:kern w:val="0"/>
                <w:sz w:val="24"/>
                <w:szCs w:val="20"/>
              </w:rPr>
            </w:pPr>
            <w:r>
              <w:rPr>
                <w:rFonts w:hint="eastAsia" w:ascii="仿宋" w:hAnsi="仿宋" w:eastAsia="仿宋"/>
                <w:kern w:val="0"/>
                <w:sz w:val="24"/>
              </w:rPr>
              <w:t>有效性（</w:t>
            </w:r>
            <w:r>
              <w:rPr>
                <w:rFonts w:ascii="仿宋" w:hAnsi="仿宋" w:eastAsia="仿宋"/>
                <w:kern w:val="0"/>
                <w:sz w:val="24"/>
              </w:rPr>
              <w:t>30</w:t>
            </w:r>
            <w:r>
              <w:rPr>
                <w:rFonts w:hint="eastAsia" w:ascii="仿宋" w:hAnsi="仿宋" w:eastAsia="仿宋"/>
                <w:kern w:val="0"/>
                <w:sz w:val="24"/>
              </w:rPr>
              <w:t>分）</w:t>
            </w:r>
          </w:p>
        </w:tc>
        <w:tc>
          <w:tcPr>
            <w:tcW w:w="6264" w:type="dxa"/>
            <w:gridSpan w:val="2"/>
            <w:tcBorders>
              <w:top w:val="single" w:color="auto" w:sz="4" w:space="0"/>
              <w:left w:val="single" w:color="auto" w:sz="4" w:space="0"/>
              <w:bottom w:val="single" w:color="auto" w:sz="4" w:space="0"/>
              <w:right w:val="single" w:color="auto" w:sz="4" w:space="0"/>
            </w:tcBorders>
          </w:tcPr>
          <w:p>
            <w:pPr>
              <w:jc w:val="left"/>
              <w:rPr>
                <w:rFonts w:ascii="仿宋" w:hAnsi="仿宋" w:eastAsia="仿宋"/>
                <w:kern w:val="0"/>
                <w:sz w:val="24"/>
              </w:rPr>
            </w:pPr>
            <w:r>
              <w:rPr>
                <w:rFonts w:hint="eastAsia" w:ascii="仿宋" w:hAnsi="仿宋" w:eastAsia="仿宋" w:cs="仿宋"/>
                <w:kern w:val="0"/>
                <w:sz w:val="24"/>
                <w:szCs w:val="20"/>
              </w:rPr>
              <w:t>1.空调主机因故障长时间不能正常工作，需要长时间停机的次数，必须向甲方进行书面汇报说明原因，并确保在最短时间内完成维修恢复正常。（原则上，长时间停机次数一年不能超过两次）10分。</w:t>
            </w:r>
          </w:p>
          <w:p>
            <w:pPr>
              <w:jc w:val="left"/>
              <w:rPr>
                <w:rFonts w:ascii="仿宋" w:hAnsi="仿宋" w:eastAsia="仿宋" w:cs="Times New Roman"/>
                <w:kern w:val="0"/>
                <w:sz w:val="24"/>
                <w:szCs w:val="20"/>
              </w:rPr>
            </w:pPr>
            <w:r>
              <w:rPr>
                <w:rFonts w:hint="eastAsia" w:ascii="仿宋" w:hAnsi="仿宋" w:eastAsia="仿宋" w:cs="Times New Roman"/>
                <w:kern w:val="0"/>
                <w:sz w:val="24"/>
                <w:szCs w:val="20"/>
              </w:rPr>
              <w:t>2.空调主机、净化机组设备定期检查保养（定期维护保养，保证正常使用）10分。</w:t>
            </w:r>
          </w:p>
          <w:p>
            <w:pPr>
              <w:jc w:val="left"/>
              <w:rPr>
                <w:rFonts w:ascii="仿宋" w:hAnsi="仿宋" w:eastAsia="仿宋" w:cs="Times New Roman"/>
                <w:kern w:val="0"/>
                <w:sz w:val="24"/>
                <w:szCs w:val="20"/>
              </w:rPr>
            </w:pPr>
            <w:r>
              <w:rPr>
                <w:rFonts w:hint="eastAsia" w:ascii="仿宋" w:hAnsi="仿宋" w:eastAsia="仿宋" w:cs="Times New Roman"/>
                <w:kern w:val="0"/>
                <w:sz w:val="24"/>
                <w:szCs w:val="20"/>
              </w:rPr>
              <w:t>3. 空调水系统水处理符合 GB/T 50050-2017 标准，循环水水质指标（电导率、PH 值等）、腐蚀率、浓缩倍数达标，</w:t>
            </w:r>
            <w:r>
              <w:rPr>
                <w:rFonts w:ascii="仿宋" w:hAnsi="仿宋" w:eastAsia="仿宋" w:cs="Times New Roman"/>
                <w:kern w:val="0"/>
                <w:sz w:val="24"/>
                <w:szCs w:val="20"/>
              </w:rPr>
              <w:t>10</w:t>
            </w:r>
            <w:r>
              <w:rPr>
                <w:rFonts w:hint="eastAsia" w:ascii="仿宋" w:hAnsi="仿宋" w:eastAsia="仿宋" w:cs="Times New Roman"/>
                <w:kern w:val="0"/>
                <w:sz w:val="24"/>
                <w:szCs w:val="20"/>
              </w:rPr>
              <w:t>分。</w:t>
            </w:r>
          </w:p>
        </w:tc>
        <w:tc>
          <w:tcPr>
            <w:tcW w:w="1457" w:type="dxa"/>
            <w:tcBorders>
              <w:top w:val="single" w:color="auto" w:sz="4" w:space="0"/>
              <w:left w:val="single" w:color="auto" w:sz="4" w:space="0"/>
              <w:bottom w:val="single" w:color="auto" w:sz="4" w:space="0"/>
              <w:right w:val="single" w:color="auto" w:sz="4" w:space="0"/>
            </w:tcBorders>
          </w:tcPr>
          <w:p>
            <w:pPr>
              <w:jc w:val="left"/>
              <w:rPr>
                <w:rFonts w:ascii="仿宋" w:hAnsi="仿宋" w:eastAsia="仿宋"/>
                <w:color w:val="FF0000"/>
                <w:kern w:val="0"/>
                <w:sz w:val="2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3" w:hRule="atLeast"/>
        </w:trPr>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4"/>
                <w:szCs w:val="20"/>
              </w:rPr>
            </w:pPr>
          </w:p>
          <w:p>
            <w:pPr>
              <w:jc w:val="center"/>
              <w:rPr>
                <w:rFonts w:ascii="仿宋" w:hAnsi="仿宋" w:eastAsia="仿宋"/>
                <w:kern w:val="0"/>
                <w:sz w:val="24"/>
                <w:szCs w:val="20"/>
              </w:rPr>
            </w:pPr>
            <w:r>
              <w:rPr>
                <w:rFonts w:hint="eastAsia" w:ascii="仿宋" w:hAnsi="仿宋" w:eastAsia="仿宋"/>
                <w:kern w:val="0"/>
                <w:sz w:val="24"/>
              </w:rPr>
              <w:t>完成度（30分）</w:t>
            </w:r>
          </w:p>
        </w:tc>
        <w:tc>
          <w:tcPr>
            <w:tcW w:w="6264" w:type="dxa"/>
            <w:gridSpan w:val="2"/>
            <w:tcBorders>
              <w:top w:val="single" w:color="auto" w:sz="4" w:space="0"/>
              <w:left w:val="single" w:color="auto" w:sz="4" w:space="0"/>
              <w:bottom w:val="single" w:color="auto" w:sz="4" w:space="0"/>
              <w:right w:val="single" w:color="auto" w:sz="4" w:space="0"/>
            </w:tcBorders>
          </w:tcPr>
          <w:p>
            <w:pPr>
              <w:rPr>
                <w:rFonts w:ascii="仿宋" w:hAnsi="仿宋" w:eastAsia="仿宋"/>
                <w:sz w:val="24"/>
              </w:rPr>
            </w:pPr>
            <w:r>
              <w:rPr>
                <w:rFonts w:hint="eastAsia" w:ascii="仿宋" w:hAnsi="仿宋" w:eastAsia="仿宋"/>
                <w:sz w:val="24"/>
              </w:rPr>
              <w:t>1.每天填好空调机组（主机、风机盘管、新风机等）、水泵、冷却塔等设备运行记录运行记录，检查机组运行情况（有数据记录）10</w:t>
            </w:r>
            <w:r>
              <w:rPr>
                <w:rFonts w:ascii="仿宋" w:hAnsi="仿宋" w:eastAsia="仿宋"/>
                <w:sz w:val="24"/>
              </w:rPr>
              <w:t>分</w:t>
            </w:r>
          </w:p>
          <w:p>
            <w:pPr>
              <w:jc w:val="left"/>
              <w:rPr>
                <w:rFonts w:ascii="仿宋" w:hAnsi="仿宋" w:eastAsia="仿宋"/>
                <w:sz w:val="24"/>
              </w:rPr>
            </w:pPr>
            <w:r>
              <w:rPr>
                <w:rFonts w:hint="eastAsia" w:ascii="仿宋" w:hAnsi="仿宋" w:eastAsia="仿宋"/>
                <w:sz w:val="24"/>
              </w:rPr>
              <w:t>2.按照要求定期完成空调机组（主机、风机盘管、新风机等）、水泵、冷却塔等设备的检查和维护（有工作单）10</w:t>
            </w:r>
            <w:r>
              <w:rPr>
                <w:rFonts w:ascii="仿宋" w:hAnsi="仿宋" w:eastAsia="仿宋"/>
                <w:sz w:val="24"/>
              </w:rPr>
              <w:t>分</w:t>
            </w:r>
          </w:p>
          <w:p>
            <w:pPr>
              <w:jc w:val="left"/>
              <w:rPr>
                <w:rFonts w:ascii="仿宋" w:hAnsi="仿宋" w:eastAsia="仿宋"/>
                <w:kern w:val="0"/>
                <w:sz w:val="24"/>
                <w:szCs w:val="20"/>
              </w:rPr>
            </w:pPr>
            <w:r>
              <w:rPr>
                <w:rFonts w:hint="eastAsia" w:ascii="仿宋" w:hAnsi="仿宋" w:eastAsia="仿宋"/>
                <w:sz w:val="24"/>
              </w:rPr>
              <w:t>3.报修系统的使用完成闭环，报修及时处理完成（签字及上传图片）10分</w:t>
            </w:r>
          </w:p>
        </w:tc>
        <w:tc>
          <w:tcPr>
            <w:tcW w:w="1457" w:type="dxa"/>
            <w:tcBorders>
              <w:top w:val="single" w:color="auto" w:sz="4" w:space="0"/>
              <w:left w:val="single" w:color="auto" w:sz="4" w:space="0"/>
              <w:bottom w:val="single" w:color="auto" w:sz="4" w:space="0"/>
              <w:right w:val="single" w:color="auto" w:sz="4" w:space="0"/>
            </w:tcBorders>
          </w:tcPr>
          <w:p>
            <w:pPr>
              <w:jc w:val="left"/>
              <w:rPr>
                <w:rFonts w:ascii="仿宋" w:hAnsi="仿宋" w:eastAsia="仿宋"/>
                <w:color w:val="FF0000"/>
                <w:kern w:val="0"/>
                <w:sz w:val="2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8" w:hRule="atLeast"/>
        </w:trPr>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4"/>
                <w:szCs w:val="20"/>
              </w:rPr>
            </w:pPr>
          </w:p>
          <w:p>
            <w:pPr>
              <w:jc w:val="center"/>
              <w:rPr>
                <w:rFonts w:ascii="仿宋" w:hAnsi="仿宋" w:eastAsia="仿宋"/>
                <w:kern w:val="0"/>
                <w:sz w:val="24"/>
                <w:szCs w:val="20"/>
              </w:rPr>
            </w:pPr>
            <w:r>
              <w:rPr>
                <w:rFonts w:hint="eastAsia" w:ascii="仿宋" w:hAnsi="仿宋" w:eastAsia="仿宋"/>
                <w:kern w:val="0"/>
                <w:sz w:val="24"/>
              </w:rPr>
              <w:t>合规性与满意度（10 分）</w:t>
            </w:r>
          </w:p>
        </w:tc>
        <w:tc>
          <w:tcPr>
            <w:tcW w:w="6264" w:type="dxa"/>
            <w:gridSpan w:val="2"/>
            <w:tcBorders>
              <w:top w:val="single" w:color="auto" w:sz="4" w:space="0"/>
              <w:left w:val="single" w:color="auto" w:sz="4" w:space="0"/>
              <w:bottom w:val="single" w:color="auto" w:sz="4" w:space="0"/>
              <w:right w:val="single" w:color="auto" w:sz="4" w:space="0"/>
            </w:tcBorders>
          </w:tcPr>
          <w:p>
            <w:pPr>
              <w:jc w:val="left"/>
              <w:rPr>
                <w:rFonts w:ascii="仿宋" w:hAnsi="仿宋" w:eastAsia="仿宋"/>
                <w:kern w:val="0"/>
                <w:sz w:val="24"/>
              </w:rPr>
            </w:pPr>
            <w:r>
              <w:rPr>
                <w:rFonts w:hint="eastAsia" w:ascii="仿宋" w:hAnsi="仿宋" w:eastAsia="仿宋"/>
                <w:kern w:val="0"/>
                <w:sz w:val="24"/>
              </w:rPr>
              <w:t>1. 现场维修人员具备电工作业证或制冷设备维修工证或制冷上岗证，无证上岗每人次扣 2 分；确定不少于 5 名专业技术人员负责 24 小时联络等工作，人员数量不足扣 3 分（5 分）。</w:t>
            </w:r>
          </w:p>
          <w:p>
            <w:pPr>
              <w:jc w:val="left"/>
              <w:rPr>
                <w:rFonts w:ascii="仿宋" w:hAnsi="仿宋" w:eastAsia="仿宋"/>
                <w:kern w:val="0"/>
                <w:sz w:val="24"/>
                <w:szCs w:val="20"/>
              </w:rPr>
            </w:pPr>
            <w:r>
              <w:rPr>
                <w:rFonts w:hint="eastAsia" w:ascii="仿宋" w:hAnsi="仿宋" w:eastAsia="仿宋"/>
                <w:kern w:val="0"/>
                <w:sz w:val="24"/>
                <w:szCs w:val="20"/>
              </w:rPr>
              <w:t>2. 维修任务完成后，用户评价或抽查结果为不满意的，一次扣 1-2 分；接到科室投诉，经核实为外包单位责任的，视情节每次扣 2-3 分；受到科室书面表扬的，每次加 2 分（加分不超过总分，5 分）</w:t>
            </w:r>
          </w:p>
        </w:tc>
        <w:tc>
          <w:tcPr>
            <w:tcW w:w="1457" w:type="dxa"/>
            <w:tcBorders>
              <w:top w:val="single" w:color="auto" w:sz="4" w:space="0"/>
              <w:left w:val="single" w:color="auto" w:sz="4" w:space="0"/>
              <w:bottom w:val="single" w:color="auto" w:sz="4" w:space="0"/>
              <w:right w:val="single" w:color="auto" w:sz="4" w:space="0"/>
            </w:tcBorders>
          </w:tcPr>
          <w:p>
            <w:pPr>
              <w:jc w:val="left"/>
              <w:rPr>
                <w:rFonts w:ascii="Times New Roman" w:hAnsi="Times New Roman" w:eastAsia="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4"/>
                <w:szCs w:val="20"/>
              </w:rPr>
            </w:pPr>
            <w:r>
              <w:rPr>
                <w:rFonts w:hint="eastAsia" w:ascii="仿宋" w:hAnsi="仿宋" w:eastAsia="仿宋"/>
                <w:kern w:val="0"/>
                <w:sz w:val="24"/>
              </w:rPr>
              <w:t>其他加分或减分的内容（1-5分）</w:t>
            </w:r>
          </w:p>
        </w:tc>
        <w:tc>
          <w:tcPr>
            <w:tcW w:w="6264" w:type="dxa"/>
            <w:gridSpan w:val="2"/>
            <w:tcBorders>
              <w:top w:val="single" w:color="auto" w:sz="4" w:space="0"/>
              <w:left w:val="single" w:color="auto" w:sz="4" w:space="0"/>
              <w:bottom w:val="single" w:color="auto" w:sz="4" w:space="0"/>
              <w:right w:val="single" w:color="auto" w:sz="4" w:space="0"/>
            </w:tcBorders>
          </w:tcPr>
          <w:p>
            <w:pPr>
              <w:pStyle w:val="22"/>
              <w:numPr>
                <w:ilvl w:val="0"/>
                <w:numId w:val="5"/>
              </w:numPr>
              <w:ind w:firstLineChars="0"/>
              <w:rPr>
                <w:rFonts w:ascii="仿宋" w:hAnsi="仿宋" w:eastAsia="仿宋"/>
                <w:kern w:val="0"/>
                <w:sz w:val="24"/>
                <w:szCs w:val="20"/>
              </w:rPr>
            </w:pPr>
            <w:r>
              <w:rPr>
                <w:rFonts w:hint="eastAsia" w:ascii="仿宋" w:hAnsi="仿宋" w:eastAsia="仿宋"/>
                <w:kern w:val="0"/>
                <w:sz w:val="24"/>
                <w:szCs w:val="24"/>
              </w:rPr>
              <w:t>空调机房环境卫生好。</w:t>
            </w:r>
          </w:p>
          <w:p>
            <w:pPr>
              <w:pStyle w:val="22"/>
              <w:numPr>
                <w:ilvl w:val="0"/>
                <w:numId w:val="5"/>
              </w:numPr>
              <w:ind w:firstLineChars="0"/>
              <w:rPr>
                <w:rFonts w:ascii="仿宋" w:hAnsi="仿宋" w:eastAsia="仿宋"/>
                <w:kern w:val="0"/>
                <w:sz w:val="24"/>
                <w:szCs w:val="20"/>
              </w:rPr>
            </w:pPr>
            <w:r>
              <w:rPr>
                <w:rFonts w:hint="eastAsia" w:ascii="仿宋" w:hAnsi="仿宋" w:eastAsia="仿宋"/>
                <w:kern w:val="0"/>
                <w:sz w:val="24"/>
                <w:szCs w:val="24"/>
              </w:rPr>
              <w:t>工作人员按规定操作。</w:t>
            </w:r>
          </w:p>
          <w:p>
            <w:pPr>
              <w:jc w:val="left"/>
              <w:rPr>
                <w:rFonts w:ascii="仿宋" w:hAnsi="仿宋" w:eastAsia="仿宋"/>
                <w:color w:val="FF0000"/>
                <w:kern w:val="0"/>
                <w:sz w:val="22"/>
                <w:szCs w:val="20"/>
              </w:rPr>
            </w:pPr>
            <w:r>
              <w:rPr>
                <w:rFonts w:hint="eastAsia" w:ascii="仿宋" w:hAnsi="仿宋" w:eastAsia="仿宋"/>
                <w:kern w:val="0"/>
                <w:sz w:val="24"/>
              </w:rPr>
              <w:t>3、工作人员不按规定操作。</w:t>
            </w:r>
          </w:p>
        </w:tc>
        <w:tc>
          <w:tcPr>
            <w:tcW w:w="1457" w:type="dxa"/>
            <w:tcBorders>
              <w:top w:val="single" w:color="auto" w:sz="4" w:space="0"/>
              <w:left w:val="single" w:color="auto" w:sz="4" w:space="0"/>
              <w:bottom w:val="single" w:color="auto" w:sz="4" w:space="0"/>
              <w:right w:val="single" w:color="auto" w:sz="4" w:space="0"/>
            </w:tcBorders>
          </w:tcPr>
          <w:p>
            <w:pPr>
              <w:jc w:val="left"/>
              <w:rPr>
                <w:rFonts w:ascii="仿宋" w:hAnsi="仿宋" w:eastAsia="仿宋"/>
                <w:color w:val="FF0000"/>
                <w:kern w:val="0"/>
                <w:sz w:val="2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trPr>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4"/>
                <w:szCs w:val="20"/>
              </w:rPr>
            </w:pPr>
          </w:p>
          <w:p>
            <w:pPr>
              <w:jc w:val="center"/>
              <w:rPr>
                <w:rFonts w:ascii="仿宋" w:hAnsi="仿宋" w:eastAsia="仿宋"/>
                <w:kern w:val="0"/>
                <w:sz w:val="24"/>
                <w:szCs w:val="20"/>
              </w:rPr>
            </w:pPr>
            <w:r>
              <w:rPr>
                <w:rFonts w:hint="eastAsia" w:ascii="仿宋" w:hAnsi="仿宋" w:eastAsia="仿宋"/>
                <w:kern w:val="0"/>
                <w:sz w:val="24"/>
              </w:rPr>
              <w:t>考核分数及结果</w:t>
            </w:r>
          </w:p>
        </w:tc>
        <w:tc>
          <w:tcPr>
            <w:tcW w:w="7721" w:type="dxa"/>
            <w:gridSpan w:val="3"/>
            <w:tcBorders>
              <w:top w:val="single" w:color="auto" w:sz="4" w:space="0"/>
              <w:left w:val="single" w:color="auto" w:sz="4" w:space="0"/>
              <w:bottom w:val="single" w:color="auto" w:sz="4" w:space="0"/>
              <w:right w:val="single" w:color="auto" w:sz="4" w:space="0"/>
            </w:tcBorders>
          </w:tcPr>
          <w:p>
            <w:pPr>
              <w:jc w:val="center"/>
              <w:rPr>
                <w:rFonts w:ascii="仿宋" w:hAnsi="仿宋" w:eastAsia="仿宋"/>
                <w:kern w:val="0"/>
                <w:sz w:val="24"/>
                <w:szCs w:val="20"/>
              </w:rPr>
            </w:pPr>
            <w:r>
              <w:rPr>
                <w:rFonts w:hint="eastAsia" w:ascii="仿宋" w:hAnsi="仿宋" w:eastAsia="仿宋"/>
                <w:kern w:val="0"/>
                <w:sz w:val="24"/>
              </w:rPr>
              <w:t>分，良好</w:t>
            </w:r>
          </w:p>
          <w:p>
            <w:pPr>
              <w:rPr>
                <w:rFonts w:ascii="仿宋" w:hAnsi="仿宋" w:eastAsia="仿宋" w:cs="Times New Roman"/>
                <w:kern w:val="0"/>
                <w:sz w:val="24"/>
                <w:szCs w:val="20"/>
              </w:rPr>
            </w:pPr>
          </w:p>
          <w:p>
            <w:pPr>
              <w:rPr>
                <w:rFonts w:ascii="仿宋" w:hAnsi="仿宋" w:eastAsia="仿宋"/>
                <w:kern w:val="0"/>
                <w:sz w:val="24"/>
                <w:szCs w:val="20"/>
              </w:rPr>
            </w:pPr>
            <w:r>
              <w:rPr>
                <w:rFonts w:hint="eastAsia" w:ascii="仿宋" w:hAnsi="仿宋" w:eastAsia="仿宋"/>
                <w:kern w:val="0"/>
                <w:sz w:val="24"/>
              </w:rPr>
              <w:t>考核人签字：</w:t>
            </w:r>
            <w:r>
              <w:rPr>
                <w:rFonts w:hint="eastAsia" w:ascii="仿宋" w:hAnsi="仿宋" w:eastAsia="仿宋"/>
                <w:color w:val="FF0000"/>
                <w:kern w:val="0"/>
                <w:sz w:val="24"/>
              </w:rPr>
              <w:t xml:space="preserve">            </w:t>
            </w:r>
            <w:r>
              <w:rPr>
                <w:rFonts w:hint="eastAsia" w:ascii="仿宋" w:hAnsi="仿宋" w:eastAsia="仿宋"/>
                <w:kern w:val="0"/>
                <w:sz w:val="24"/>
              </w:rPr>
              <w:t xml:space="preserve">           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9319" w:type="dxa"/>
            <w:gridSpan w:val="4"/>
            <w:tcBorders>
              <w:top w:val="single" w:color="auto" w:sz="4" w:space="0"/>
              <w:left w:val="single" w:color="auto" w:sz="4" w:space="0"/>
              <w:bottom w:val="single" w:color="auto" w:sz="4" w:space="0"/>
              <w:right w:val="single" w:color="auto" w:sz="4" w:space="0"/>
            </w:tcBorders>
          </w:tcPr>
          <w:p>
            <w:pPr>
              <w:jc w:val="left"/>
              <w:rPr>
                <w:rFonts w:ascii="仿宋" w:hAnsi="仿宋" w:eastAsia="仿宋"/>
                <w:kern w:val="0"/>
                <w:sz w:val="24"/>
                <w:szCs w:val="20"/>
              </w:rPr>
            </w:pPr>
            <w:r>
              <w:rPr>
                <w:rFonts w:hint="eastAsia" w:ascii="仿宋" w:hAnsi="仿宋" w:eastAsia="仿宋"/>
                <w:kern w:val="0"/>
                <w:sz w:val="24"/>
              </w:rPr>
              <w:t xml:space="preserve">主管部门负责人意见： </w:t>
            </w:r>
          </w:p>
          <w:p>
            <w:pPr>
              <w:jc w:val="left"/>
              <w:rPr>
                <w:rFonts w:ascii="仿宋" w:hAnsi="仿宋" w:eastAsia="仿宋"/>
                <w:kern w:val="0"/>
                <w:sz w:val="24"/>
                <w:szCs w:val="20"/>
              </w:rPr>
            </w:pPr>
          </w:p>
          <w:p>
            <w:pPr>
              <w:jc w:val="left"/>
              <w:rPr>
                <w:rFonts w:ascii="仿宋" w:hAnsi="仿宋" w:eastAsia="仿宋"/>
                <w:kern w:val="0"/>
                <w:sz w:val="24"/>
                <w:szCs w:val="20"/>
              </w:rPr>
            </w:pPr>
            <w:r>
              <w:rPr>
                <w:rFonts w:hint="eastAsia" w:ascii="仿宋" w:hAnsi="仿宋" w:eastAsia="仿宋"/>
                <w:kern w:val="0"/>
                <w:sz w:val="24"/>
              </w:rPr>
              <w:t>签字：</w:t>
            </w:r>
            <w:r>
              <w:rPr>
                <w:rFonts w:hint="eastAsia" w:ascii="仿宋" w:hAnsi="仿宋" w:eastAsia="仿宋"/>
                <w:color w:val="FF0000"/>
                <w:kern w:val="0"/>
                <w:sz w:val="24"/>
              </w:rPr>
              <w:t xml:space="preserve">            </w:t>
            </w:r>
            <w:r>
              <w:rPr>
                <w:rFonts w:hint="eastAsia" w:ascii="仿宋" w:hAnsi="仿宋" w:eastAsia="仿宋"/>
                <w:kern w:val="0"/>
                <w:sz w:val="24"/>
              </w:rPr>
              <w:t xml:space="preserve">                              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9319" w:type="dxa"/>
            <w:gridSpan w:val="4"/>
            <w:tcBorders>
              <w:top w:val="single" w:color="auto" w:sz="4" w:space="0"/>
              <w:left w:val="single" w:color="auto" w:sz="4" w:space="0"/>
              <w:bottom w:val="single" w:color="auto" w:sz="4" w:space="0"/>
              <w:right w:val="single" w:color="auto" w:sz="4" w:space="0"/>
            </w:tcBorders>
          </w:tcPr>
          <w:p>
            <w:pPr>
              <w:jc w:val="left"/>
              <w:rPr>
                <w:rFonts w:ascii="仿宋" w:hAnsi="仿宋" w:eastAsia="仿宋"/>
                <w:kern w:val="0"/>
                <w:sz w:val="24"/>
                <w:szCs w:val="20"/>
              </w:rPr>
            </w:pPr>
            <w:r>
              <w:rPr>
                <w:rFonts w:hint="eastAsia" w:ascii="仿宋" w:hAnsi="仿宋" w:eastAsia="仿宋"/>
                <w:kern w:val="0"/>
                <w:sz w:val="24"/>
              </w:rPr>
              <w:t>审计部门意见：</w:t>
            </w:r>
          </w:p>
          <w:p>
            <w:pPr>
              <w:jc w:val="left"/>
              <w:rPr>
                <w:rFonts w:ascii="仿宋" w:hAnsi="仿宋" w:eastAsia="仿宋"/>
                <w:kern w:val="0"/>
                <w:sz w:val="24"/>
                <w:szCs w:val="20"/>
              </w:rPr>
            </w:pPr>
          </w:p>
          <w:p>
            <w:pPr>
              <w:jc w:val="left"/>
              <w:rPr>
                <w:rFonts w:ascii="仿宋" w:hAnsi="仿宋" w:eastAsia="仿宋"/>
                <w:kern w:val="0"/>
                <w:sz w:val="24"/>
                <w:szCs w:val="20"/>
              </w:rPr>
            </w:pPr>
            <w:r>
              <w:rPr>
                <w:rFonts w:hint="eastAsia" w:ascii="仿宋" w:hAnsi="仿宋" w:eastAsia="仿宋"/>
                <w:kern w:val="0"/>
                <w:sz w:val="24"/>
              </w:rPr>
              <w:t>签字：                                          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9319" w:type="dxa"/>
            <w:gridSpan w:val="4"/>
            <w:tcBorders>
              <w:top w:val="single" w:color="auto" w:sz="4" w:space="0"/>
              <w:left w:val="single" w:color="auto" w:sz="4" w:space="0"/>
              <w:bottom w:val="single" w:color="auto" w:sz="4" w:space="0"/>
              <w:right w:val="single" w:color="auto" w:sz="4" w:space="0"/>
            </w:tcBorders>
          </w:tcPr>
          <w:p>
            <w:pPr>
              <w:jc w:val="left"/>
              <w:rPr>
                <w:rFonts w:ascii="仿宋" w:hAnsi="仿宋" w:eastAsia="仿宋"/>
                <w:kern w:val="0"/>
                <w:sz w:val="24"/>
                <w:szCs w:val="20"/>
              </w:rPr>
            </w:pPr>
            <w:r>
              <w:rPr>
                <w:rFonts w:hint="eastAsia" w:ascii="仿宋" w:hAnsi="仿宋" w:eastAsia="仿宋"/>
                <w:kern w:val="0"/>
                <w:sz w:val="20"/>
              </w:rPr>
              <w:t>填表说明：此表由各外包主管部门根据需要定期考核使用，总分100分制，超出仍然按100分计算。评分细则可由各外包服务主管部门自行确定，评分结果分为优秀（90-100分）、良好（80-89分）、中等（70-79分）、及格（60-69分）、不及格（0-59分），评分结果作为下一周期外包服务采购的重要依据。</w:t>
            </w:r>
          </w:p>
        </w:tc>
      </w:tr>
    </w:tbl>
    <w:p/>
    <w:p>
      <w:pPr>
        <w:widowControl/>
        <w:jc w:val="left"/>
      </w:pPr>
      <w:r>
        <w:br w:type="page"/>
      </w:r>
    </w:p>
    <w:p>
      <w:pPr>
        <w:pStyle w:val="3"/>
        <w:spacing w:before="45"/>
        <w:ind w:right="3203"/>
        <w:rPr>
          <w:color w:val="000000"/>
        </w:rPr>
      </w:pPr>
      <w:r>
        <w:rPr>
          <w:rFonts w:hint="eastAsia"/>
          <w:color w:val="000000"/>
        </w:rPr>
        <w:t>附件2：空调设备维保服务项目考核表</w:t>
      </w:r>
    </w:p>
    <w:tbl>
      <w:tblPr>
        <w:tblStyle w:val="9"/>
        <w:tblW w:w="106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5964"/>
        <w:gridCol w:w="1546"/>
        <w:gridCol w:w="1200"/>
        <w:gridCol w:w="12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序号</w:t>
            </w:r>
          </w:p>
        </w:tc>
        <w:tc>
          <w:tcPr>
            <w:tcW w:w="5964" w:type="dxa"/>
            <w:vAlign w:val="center"/>
          </w:tcPr>
          <w:p>
            <w:pPr>
              <w:spacing w:line="460" w:lineRule="exact"/>
              <w:jc w:val="center"/>
              <w:rPr>
                <w:rFonts w:ascii="宋体" w:hAnsi="宋体" w:cs="宋体"/>
                <w:szCs w:val="21"/>
              </w:rPr>
            </w:pPr>
            <w:r>
              <w:rPr>
                <w:rFonts w:hint="eastAsia" w:ascii="宋体" w:hAnsi="宋体" w:cs="宋体"/>
                <w:szCs w:val="21"/>
              </w:rPr>
              <w:t>考核标准</w:t>
            </w:r>
          </w:p>
        </w:tc>
        <w:tc>
          <w:tcPr>
            <w:tcW w:w="1546" w:type="dxa"/>
            <w:vAlign w:val="center"/>
          </w:tcPr>
          <w:p>
            <w:pPr>
              <w:spacing w:line="460" w:lineRule="exact"/>
              <w:jc w:val="center"/>
              <w:rPr>
                <w:rFonts w:ascii="宋体" w:hAnsi="宋体" w:cs="宋体"/>
                <w:szCs w:val="21"/>
              </w:rPr>
            </w:pPr>
            <w:r>
              <w:rPr>
                <w:rFonts w:hint="eastAsia" w:ascii="宋体" w:hAnsi="宋体" w:cs="宋体"/>
                <w:szCs w:val="21"/>
              </w:rPr>
              <w:t>处罚标准</w:t>
            </w:r>
          </w:p>
        </w:tc>
        <w:tc>
          <w:tcPr>
            <w:tcW w:w="1200" w:type="dxa"/>
            <w:vAlign w:val="center"/>
          </w:tcPr>
          <w:p>
            <w:pPr>
              <w:spacing w:line="460" w:lineRule="exact"/>
              <w:jc w:val="center"/>
              <w:rPr>
                <w:rFonts w:ascii="宋体" w:hAnsi="宋体" w:cs="宋体"/>
                <w:szCs w:val="21"/>
              </w:rPr>
            </w:pPr>
            <w:r>
              <w:rPr>
                <w:rFonts w:hint="eastAsia" w:ascii="宋体" w:hAnsi="宋体" w:cs="宋体"/>
                <w:szCs w:val="21"/>
              </w:rPr>
              <w:t>处罚原因</w:t>
            </w:r>
          </w:p>
        </w:tc>
        <w:tc>
          <w:tcPr>
            <w:tcW w:w="1224" w:type="dxa"/>
            <w:vAlign w:val="center"/>
          </w:tcPr>
          <w:p>
            <w:pPr>
              <w:spacing w:line="460" w:lineRule="exact"/>
              <w:jc w:val="center"/>
              <w:rPr>
                <w:rFonts w:ascii="宋体" w:hAnsi="宋体" w:cs="宋体"/>
                <w:szCs w:val="21"/>
              </w:rPr>
            </w:pPr>
            <w:r>
              <w:rPr>
                <w:rFonts w:hint="eastAsia" w:ascii="宋体" w:hAnsi="宋体" w:cs="宋体"/>
                <w:szCs w:val="21"/>
              </w:rPr>
              <w:t>罚款金额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1</w:t>
            </w:r>
          </w:p>
        </w:tc>
        <w:tc>
          <w:tcPr>
            <w:tcW w:w="5964" w:type="dxa"/>
            <w:vAlign w:val="center"/>
          </w:tcPr>
          <w:p>
            <w:pPr>
              <w:spacing w:line="460" w:lineRule="exact"/>
              <w:ind w:right="-109" w:rightChars="-52"/>
              <w:rPr>
                <w:rFonts w:ascii="宋体" w:hAnsi="宋体" w:cs="宋体"/>
                <w:szCs w:val="21"/>
              </w:rPr>
            </w:pPr>
            <w:r>
              <w:rPr>
                <w:rFonts w:hint="eastAsia" w:ascii="宋体" w:hAnsi="宋体" w:cs="宋体"/>
                <w:bCs/>
                <w:szCs w:val="21"/>
              </w:rPr>
              <w:t>随意更换项目主管未提前通报医院并征求医院意见的</w:t>
            </w:r>
          </w:p>
        </w:tc>
        <w:tc>
          <w:tcPr>
            <w:tcW w:w="1546" w:type="dxa"/>
            <w:vAlign w:val="center"/>
          </w:tcPr>
          <w:p>
            <w:pPr>
              <w:spacing w:line="460" w:lineRule="exact"/>
              <w:jc w:val="center"/>
              <w:rPr>
                <w:rFonts w:ascii="宋体" w:hAnsi="宋体" w:cs="宋体"/>
                <w:szCs w:val="21"/>
              </w:rPr>
            </w:pPr>
            <w:r>
              <w:rPr>
                <w:rFonts w:hint="eastAsia" w:ascii="宋体" w:hAnsi="宋体" w:cs="宋体"/>
                <w:szCs w:val="21"/>
              </w:rPr>
              <w:t>500元/次</w:t>
            </w:r>
          </w:p>
        </w:tc>
        <w:tc>
          <w:tcPr>
            <w:tcW w:w="1200" w:type="dxa"/>
            <w:vAlign w:val="center"/>
          </w:tcPr>
          <w:p>
            <w:pPr>
              <w:spacing w:line="460" w:lineRule="exact"/>
              <w:jc w:val="center"/>
              <w:rPr>
                <w:rFonts w:ascii="宋体" w:hAnsi="宋体" w:cs="宋体"/>
                <w:szCs w:val="21"/>
              </w:rPr>
            </w:pPr>
          </w:p>
        </w:tc>
        <w:tc>
          <w:tcPr>
            <w:tcW w:w="1224" w:type="dxa"/>
            <w:vAlign w:val="center"/>
          </w:tcPr>
          <w:p>
            <w:pPr>
              <w:spacing w:line="46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2</w:t>
            </w:r>
          </w:p>
        </w:tc>
        <w:tc>
          <w:tcPr>
            <w:tcW w:w="5964" w:type="dxa"/>
            <w:vAlign w:val="center"/>
          </w:tcPr>
          <w:p>
            <w:pPr>
              <w:spacing w:line="460" w:lineRule="exact"/>
              <w:ind w:right="-109" w:rightChars="-52"/>
              <w:rPr>
                <w:rFonts w:ascii="宋体" w:hAnsi="宋体" w:cs="宋体"/>
                <w:szCs w:val="21"/>
              </w:rPr>
            </w:pPr>
            <w:r>
              <w:rPr>
                <w:rFonts w:hint="eastAsia" w:ascii="宋体" w:hAnsi="宋体" w:cs="宋体"/>
                <w:bCs/>
                <w:szCs w:val="21"/>
              </w:rPr>
              <w:t>未按招标文件要求投入足够人员造成缺岗的；</w:t>
            </w:r>
            <w:r>
              <w:rPr>
                <w:rFonts w:hint="eastAsia" w:ascii="宋体" w:hAnsi="宋体" w:cs="宋体"/>
                <w:szCs w:val="21"/>
              </w:rPr>
              <w:t>驻场人员需每日考勤，若采购人抽查发现缺岗或维修人员不符合岗位要求的</w:t>
            </w:r>
          </w:p>
        </w:tc>
        <w:tc>
          <w:tcPr>
            <w:tcW w:w="1546" w:type="dxa"/>
            <w:vAlign w:val="center"/>
          </w:tcPr>
          <w:p>
            <w:pPr>
              <w:spacing w:line="460" w:lineRule="exact"/>
              <w:jc w:val="center"/>
              <w:rPr>
                <w:rFonts w:ascii="宋体" w:hAnsi="宋体" w:cs="宋体"/>
                <w:szCs w:val="21"/>
              </w:rPr>
            </w:pPr>
            <w:r>
              <w:rPr>
                <w:rFonts w:hint="eastAsia" w:ascii="宋体" w:hAnsi="宋体" w:cs="宋体"/>
                <w:color w:val="FF0000"/>
                <w:szCs w:val="21"/>
              </w:rPr>
              <w:t>300</w:t>
            </w:r>
            <w:r>
              <w:rPr>
                <w:rFonts w:hint="eastAsia" w:ascii="宋体" w:hAnsi="宋体" w:cs="宋体"/>
                <w:szCs w:val="21"/>
              </w:rPr>
              <w:t>元/人/次</w:t>
            </w:r>
          </w:p>
        </w:tc>
        <w:tc>
          <w:tcPr>
            <w:tcW w:w="1200" w:type="dxa"/>
            <w:vAlign w:val="center"/>
          </w:tcPr>
          <w:p>
            <w:pPr>
              <w:spacing w:line="460" w:lineRule="exact"/>
              <w:jc w:val="center"/>
              <w:rPr>
                <w:rFonts w:ascii="宋体" w:hAnsi="宋体" w:cs="宋体"/>
                <w:szCs w:val="21"/>
              </w:rPr>
            </w:pPr>
          </w:p>
        </w:tc>
        <w:tc>
          <w:tcPr>
            <w:tcW w:w="1224" w:type="dxa"/>
            <w:vAlign w:val="center"/>
          </w:tcPr>
          <w:p>
            <w:pPr>
              <w:spacing w:line="46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3</w:t>
            </w:r>
          </w:p>
        </w:tc>
        <w:tc>
          <w:tcPr>
            <w:tcW w:w="5964" w:type="dxa"/>
            <w:vAlign w:val="center"/>
          </w:tcPr>
          <w:p>
            <w:pPr>
              <w:spacing w:line="460" w:lineRule="exact"/>
              <w:ind w:right="-109" w:rightChars="-52"/>
              <w:rPr>
                <w:rFonts w:ascii="宋体" w:hAnsi="宋体" w:cs="宋体"/>
                <w:szCs w:val="21"/>
              </w:rPr>
            </w:pPr>
            <w:r>
              <w:rPr>
                <w:rFonts w:hint="eastAsia" w:ascii="宋体" w:hAnsi="宋体" w:cs="宋体"/>
                <w:bCs/>
                <w:szCs w:val="21"/>
              </w:rPr>
              <w:t>未按要求对人员进行体检、持证上岗人员无证、持假证的，人员不符合上岗要求的，个人资料不实，弄虚作假的；</w:t>
            </w:r>
          </w:p>
        </w:tc>
        <w:tc>
          <w:tcPr>
            <w:tcW w:w="1546" w:type="dxa"/>
            <w:vAlign w:val="center"/>
          </w:tcPr>
          <w:p>
            <w:pPr>
              <w:spacing w:line="460" w:lineRule="exact"/>
              <w:jc w:val="center"/>
              <w:rPr>
                <w:rFonts w:ascii="宋体" w:hAnsi="宋体" w:cs="宋体"/>
                <w:szCs w:val="21"/>
              </w:rPr>
            </w:pPr>
            <w:r>
              <w:rPr>
                <w:rFonts w:hint="eastAsia" w:ascii="宋体" w:hAnsi="宋体" w:cs="宋体"/>
                <w:color w:val="FF0000"/>
                <w:szCs w:val="21"/>
              </w:rPr>
              <w:t>500</w:t>
            </w:r>
            <w:r>
              <w:rPr>
                <w:rFonts w:hint="eastAsia" w:ascii="宋体" w:hAnsi="宋体" w:cs="宋体"/>
                <w:szCs w:val="21"/>
              </w:rPr>
              <w:t>元/人/次</w:t>
            </w:r>
          </w:p>
        </w:tc>
        <w:tc>
          <w:tcPr>
            <w:tcW w:w="1200" w:type="dxa"/>
            <w:vAlign w:val="center"/>
          </w:tcPr>
          <w:p>
            <w:pPr>
              <w:spacing w:line="460" w:lineRule="exact"/>
              <w:jc w:val="center"/>
              <w:rPr>
                <w:rFonts w:ascii="宋体" w:hAnsi="宋体" w:cs="宋体"/>
                <w:szCs w:val="21"/>
              </w:rPr>
            </w:pPr>
          </w:p>
        </w:tc>
        <w:tc>
          <w:tcPr>
            <w:tcW w:w="1224" w:type="dxa"/>
            <w:vAlign w:val="center"/>
          </w:tcPr>
          <w:p>
            <w:pPr>
              <w:spacing w:line="46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4</w:t>
            </w:r>
          </w:p>
        </w:tc>
        <w:tc>
          <w:tcPr>
            <w:tcW w:w="5964" w:type="dxa"/>
            <w:vAlign w:val="center"/>
          </w:tcPr>
          <w:p>
            <w:pPr>
              <w:spacing w:line="460" w:lineRule="exact"/>
              <w:ind w:right="-109" w:rightChars="-52"/>
              <w:rPr>
                <w:rFonts w:ascii="宋体" w:hAnsi="宋体" w:cs="宋体"/>
                <w:szCs w:val="21"/>
              </w:rPr>
            </w:pPr>
            <w:r>
              <w:rPr>
                <w:rFonts w:hint="eastAsia" w:ascii="宋体" w:hAnsi="宋体" w:cs="宋体"/>
                <w:bCs/>
                <w:szCs w:val="21"/>
              </w:rPr>
              <w:t>违反安全条例、安全操作规程，造成不良后果的</w:t>
            </w:r>
          </w:p>
        </w:tc>
        <w:tc>
          <w:tcPr>
            <w:tcW w:w="1546" w:type="dxa"/>
            <w:vAlign w:val="center"/>
          </w:tcPr>
          <w:p>
            <w:pPr>
              <w:spacing w:line="460" w:lineRule="exact"/>
              <w:jc w:val="center"/>
              <w:rPr>
                <w:rFonts w:ascii="宋体" w:hAnsi="宋体" w:cs="宋体"/>
                <w:szCs w:val="21"/>
              </w:rPr>
            </w:pPr>
            <w:r>
              <w:rPr>
                <w:rFonts w:hint="eastAsia" w:ascii="宋体" w:hAnsi="宋体" w:cs="宋体"/>
                <w:szCs w:val="21"/>
              </w:rPr>
              <w:t>700元/次</w:t>
            </w:r>
          </w:p>
        </w:tc>
        <w:tc>
          <w:tcPr>
            <w:tcW w:w="1200" w:type="dxa"/>
            <w:vAlign w:val="center"/>
          </w:tcPr>
          <w:p>
            <w:pPr>
              <w:spacing w:line="460" w:lineRule="exact"/>
              <w:rPr>
                <w:rFonts w:ascii="宋体" w:hAnsi="宋体" w:cs="宋体"/>
                <w:szCs w:val="21"/>
              </w:rPr>
            </w:pPr>
          </w:p>
        </w:tc>
        <w:tc>
          <w:tcPr>
            <w:tcW w:w="1224" w:type="dxa"/>
            <w:vAlign w:val="center"/>
          </w:tcPr>
          <w:p>
            <w:pPr>
              <w:spacing w:line="4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5</w:t>
            </w:r>
          </w:p>
        </w:tc>
        <w:tc>
          <w:tcPr>
            <w:tcW w:w="5964" w:type="dxa"/>
            <w:vAlign w:val="center"/>
          </w:tcPr>
          <w:p>
            <w:pPr>
              <w:spacing w:line="460" w:lineRule="exact"/>
              <w:ind w:right="-109" w:rightChars="-52"/>
              <w:rPr>
                <w:rFonts w:ascii="宋体" w:hAnsi="宋体" w:cs="宋体"/>
                <w:szCs w:val="21"/>
              </w:rPr>
            </w:pPr>
            <w:r>
              <w:rPr>
                <w:rFonts w:hint="eastAsia" w:ascii="宋体" w:hAnsi="宋体" w:cs="宋体"/>
                <w:bCs/>
                <w:szCs w:val="21"/>
              </w:rPr>
              <w:t>携带违禁物品（武器、毒品、爆炸品、易燃品、强腐蚀性物品等）进院的</w:t>
            </w:r>
          </w:p>
        </w:tc>
        <w:tc>
          <w:tcPr>
            <w:tcW w:w="1546" w:type="dxa"/>
            <w:vAlign w:val="center"/>
          </w:tcPr>
          <w:p>
            <w:pPr>
              <w:spacing w:line="460" w:lineRule="exact"/>
              <w:jc w:val="center"/>
              <w:rPr>
                <w:rFonts w:ascii="宋体" w:hAnsi="宋体" w:cs="宋体"/>
                <w:szCs w:val="21"/>
              </w:rPr>
            </w:pPr>
            <w:r>
              <w:rPr>
                <w:rFonts w:hint="eastAsia" w:ascii="宋体" w:hAnsi="宋体" w:cs="宋体"/>
                <w:szCs w:val="21"/>
              </w:rPr>
              <w:t>500元/次</w:t>
            </w:r>
          </w:p>
        </w:tc>
        <w:tc>
          <w:tcPr>
            <w:tcW w:w="1200" w:type="dxa"/>
            <w:vAlign w:val="center"/>
          </w:tcPr>
          <w:p>
            <w:pPr>
              <w:spacing w:line="460" w:lineRule="exact"/>
              <w:rPr>
                <w:rFonts w:ascii="宋体" w:hAnsi="宋体" w:cs="宋体"/>
                <w:szCs w:val="21"/>
              </w:rPr>
            </w:pPr>
          </w:p>
        </w:tc>
        <w:tc>
          <w:tcPr>
            <w:tcW w:w="1224" w:type="dxa"/>
            <w:vAlign w:val="center"/>
          </w:tcPr>
          <w:p>
            <w:pPr>
              <w:spacing w:line="4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6</w:t>
            </w:r>
          </w:p>
        </w:tc>
        <w:tc>
          <w:tcPr>
            <w:tcW w:w="5964" w:type="dxa"/>
            <w:vAlign w:val="center"/>
          </w:tcPr>
          <w:p>
            <w:pPr>
              <w:spacing w:line="460" w:lineRule="exact"/>
              <w:ind w:right="-109" w:rightChars="-52"/>
              <w:rPr>
                <w:rFonts w:ascii="宋体" w:hAnsi="宋体" w:cs="宋体"/>
                <w:szCs w:val="21"/>
              </w:rPr>
            </w:pPr>
            <w:r>
              <w:rPr>
                <w:rFonts w:hint="eastAsia" w:ascii="宋体" w:hAnsi="宋体" w:cs="宋体"/>
                <w:bCs/>
                <w:szCs w:val="21"/>
              </w:rPr>
              <w:t>在院内进行违法乱纪行为、违反治安管理条例行为的</w:t>
            </w:r>
          </w:p>
        </w:tc>
        <w:tc>
          <w:tcPr>
            <w:tcW w:w="1546" w:type="dxa"/>
            <w:vAlign w:val="center"/>
          </w:tcPr>
          <w:p>
            <w:pPr>
              <w:spacing w:line="460" w:lineRule="exact"/>
              <w:jc w:val="center"/>
              <w:rPr>
                <w:rFonts w:ascii="宋体" w:hAnsi="宋体" w:cs="宋体"/>
                <w:szCs w:val="21"/>
              </w:rPr>
            </w:pPr>
            <w:r>
              <w:rPr>
                <w:rFonts w:hint="eastAsia" w:ascii="宋体" w:hAnsi="宋体" w:cs="宋体"/>
                <w:szCs w:val="21"/>
              </w:rPr>
              <w:t>500元/次</w:t>
            </w:r>
          </w:p>
        </w:tc>
        <w:tc>
          <w:tcPr>
            <w:tcW w:w="1200" w:type="dxa"/>
            <w:vAlign w:val="center"/>
          </w:tcPr>
          <w:p>
            <w:pPr>
              <w:spacing w:line="460" w:lineRule="exact"/>
              <w:rPr>
                <w:rFonts w:ascii="宋体" w:hAnsi="宋体" w:cs="宋体"/>
                <w:szCs w:val="21"/>
              </w:rPr>
            </w:pPr>
          </w:p>
        </w:tc>
        <w:tc>
          <w:tcPr>
            <w:tcW w:w="1224" w:type="dxa"/>
            <w:vAlign w:val="center"/>
          </w:tcPr>
          <w:p>
            <w:pPr>
              <w:spacing w:line="4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7</w:t>
            </w:r>
          </w:p>
        </w:tc>
        <w:tc>
          <w:tcPr>
            <w:tcW w:w="5964" w:type="dxa"/>
            <w:vAlign w:val="center"/>
          </w:tcPr>
          <w:p>
            <w:pPr>
              <w:spacing w:line="460" w:lineRule="exact"/>
              <w:ind w:right="-109" w:rightChars="-52"/>
              <w:rPr>
                <w:rFonts w:ascii="宋体" w:hAnsi="宋体" w:cs="宋体"/>
                <w:szCs w:val="21"/>
              </w:rPr>
            </w:pPr>
            <w:r>
              <w:rPr>
                <w:rFonts w:hint="eastAsia" w:ascii="宋体" w:hAnsi="宋体" w:cs="宋体"/>
                <w:bCs/>
                <w:szCs w:val="21"/>
              </w:rPr>
              <w:t>私自配置医院钥匙，私自改装医院锁具的</w:t>
            </w:r>
          </w:p>
        </w:tc>
        <w:tc>
          <w:tcPr>
            <w:tcW w:w="1546" w:type="dxa"/>
            <w:vAlign w:val="center"/>
          </w:tcPr>
          <w:p>
            <w:pPr>
              <w:spacing w:line="460" w:lineRule="exact"/>
              <w:jc w:val="center"/>
              <w:rPr>
                <w:rFonts w:ascii="宋体" w:hAnsi="宋体" w:cs="宋体"/>
                <w:szCs w:val="21"/>
              </w:rPr>
            </w:pPr>
            <w:r>
              <w:rPr>
                <w:rFonts w:hint="eastAsia" w:ascii="宋体" w:hAnsi="宋体" w:cs="宋体"/>
                <w:szCs w:val="21"/>
              </w:rPr>
              <w:t>300元/次</w:t>
            </w:r>
          </w:p>
        </w:tc>
        <w:tc>
          <w:tcPr>
            <w:tcW w:w="1200" w:type="dxa"/>
            <w:vAlign w:val="center"/>
          </w:tcPr>
          <w:p>
            <w:pPr>
              <w:spacing w:line="460" w:lineRule="exact"/>
              <w:rPr>
                <w:rFonts w:ascii="宋体" w:hAnsi="宋体" w:cs="宋体"/>
                <w:szCs w:val="21"/>
              </w:rPr>
            </w:pPr>
          </w:p>
        </w:tc>
        <w:tc>
          <w:tcPr>
            <w:tcW w:w="1224" w:type="dxa"/>
            <w:vAlign w:val="center"/>
          </w:tcPr>
          <w:p>
            <w:pPr>
              <w:spacing w:line="4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8</w:t>
            </w:r>
          </w:p>
        </w:tc>
        <w:tc>
          <w:tcPr>
            <w:tcW w:w="5964" w:type="dxa"/>
            <w:vAlign w:val="center"/>
          </w:tcPr>
          <w:p>
            <w:pPr>
              <w:spacing w:line="460" w:lineRule="exact"/>
              <w:ind w:right="-109" w:rightChars="-52"/>
              <w:rPr>
                <w:rFonts w:ascii="宋体" w:hAnsi="宋体" w:cs="宋体"/>
                <w:szCs w:val="21"/>
              </w:rPr>
            </w:pPr>
            <w:r>
              <w:rPr>
                <w:rFonts w:hint="eastAsia" w:ascii="宋体" w:hAnsi="宋体" w:cs="宋体"/>
                <w:bCs/>
                <w:szCs w:val="21"/>
              </w:rPr>
              <w:t>私自带无关人员进入院非公共开放部位的</w:t>
            </w:r>
          </w:p>
        </w:tc>
        <w:tc>
          <w:tcPr>
            <w:tcW w:w="1546" w:type="dxa"/>
            <w:vAlign w:val="center"/>
          </w:tcPr>
          <w:p>
            <w:pPr>
              <w:spacing w:line="460" w:lineRule="exact"/>
              <w:jc w:val="center"/>
              <w:rPr>
                <w:rFonts w:ascii="宋体" w:hAnsi="宋体" w:cs="宋体"/>
                <w:szCs w:val="21"/>
              </w:rPr>
            </w:pPr>
            <w:r>
              <w:rPr>
                <w:rFonts w:hint="eastAsia" w:ascii="宋体" w:hAnsi="宋体" w:cs="宋体"/>
                <w:szCs w:val="21"/>
              </w:rPr>
              <w:t>500元/次</w:t>
            </w:r>
          </w:p>
        </w:tc>
        <w:tc>
          <w:tcPr>
            <w:tcW w:w="1200" w:type="dxa"/>
            <w:vAlign w:val="center"/>
          </w:tcPr>
          <w:p>
            <w:pPr>
              <w:spacing w:line="460" w:lineRule="exact"/>
              <w:rPr>
                <w:rFonts w:ascii="宋体" w:hAnsi="宋体" w:cs="宋体"/>
                <w:szCs w:val="21"/>
              </w:rPr>
            </w:pPr>
          </w:p>
        </w:tc>
        <w:tc>
          <w:tcPr>
            <w:tcW w:w="1224" w:type="dxa"/>
            <w:vAlign w:val="center"/>
          </w:tcPr>
          <w:p>
            <w:pPr>
              <w:spacing w:line="4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9</w:t>
            </w:r>
          </w:p>
        </w:tc>
        <w:tc>
          <w:tcPr>
            <w:tcW w:w="5964" w:type="dxa"/>
            <w:vAlign w:val="center"/>
          </w:tcPr>
          <w:p>
            <w:pPr>
              <w:spacing w:line="460" w:lineRule="exact"/>
              <w:ind w:right="-109" w:rightChars="-52"/>
              <w:rPr>
                <w:rFonts w:ascii="宋体" w:hAnsi="宋体" w:cs="宋体"/>
                <w:szCs w:val="21"/>
              </w:rPr>
            </w:pPr>
            <w:r>
              <w:rPr>
                <w:rFonts w:hint="eastAsia" w:ascii="宋体" w:hAnsi="宋体" w:cs="宋体"/>
                <w:bCs/>
                <w:szCs w:val="21"/>
              </w:rPr>
              <w:t>在考勤、值班、检查、维修记录（包括书面和口头）弄虚作假，伪造的</w:t>
            </w:r>
          </w:p>
        </w:tc>
        <w:tc>
          <w:tcPr>
            <w:tcW w:w="1546" w:type="dxa"/>
            <w:vAlign w:val="center"/>
          </w:tcPr>
          <w:p>
            <w:pPr>
              <w:spacing w:line="460" w:lineRule="exact"/>
              <w:jc w:val="center"/>
              <w:rPr>
                <w:rFonts w:ascii="宋体" w:hAnsi="宋体" w:cs="宋体"/>
                <w:szCs w:val="21"/>
              </w:rPr>
            </w:pPr>
            <w:r>
              <w:rPr>
                <w:rFonts w:hint="eastAsia" w:ascii="宋体" w:hAnsi="宋体" w:cs="宋体"/>
                <w:color w:val="FF0000"/>
                <w:szCs w:val="21"/>
              </w:rPr>
              <w:t>500</w:t>
            </w:r>
            <w:r>
              <w:rPr>
                <w:rFonts w:hint="eastAsia" w:ascii="宋体" w:hAnsi="宋体" w:cs="宋体"/>
                <w:szCs w:val="21"/>
              </w:rPr>
              <w:t>元/次</w:t>
            </w:r>
          </w:p>
        </w:tc>
        <w:tc>
          <w:tcPr>
            <w:tcW w:w="1200" w:type="dxa"/>
            <w:vAlign w:val="center"/>
          </w:tcPr>
          <w:p>
            <w:pPr>
              <w:spacing w:line="460" w:lineRule="exact"/>
              <w:rPr>
                <w:rFonts w:ascii="宋体" w:hAnsi="宋体" w:cs="宋体"/>
                <w:szCs w:val="21"/>
              </w:rPr>
            </w:pPr>
          </w:p>
        </w:tc>
        <w:tc>
          <w:tcPr>
            <w:tcW w:w="1224" w:type="dxa"/>
            <w:vAlign w:val="center"/>
          </w:tcPr>
          <w:p>
            <w:pPr>
              <w:spacing w:line="4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10</w:t>
            </w:r>
          </w:p>
        </w:tc>
        <w:tc>
          <w:tcPr>
            <w:tcW w:w="5964" w:type="dxa"/>
            <w:vAlign w:val="center"/>
          </w:tcPr>
          <w:p>
            <w:pPr>
              <w:spacing w:line="460" w:lineRule="exact"/>
              <w:ind w:right="-109" w:rightChars="-52"/>
              <w:rPr>
                <w:rFonts w:ascii="宋体" w:hAnsi="宋体" w:cs="宋体"/>
                <w:szCs w:val="21"/>
              </w:rPr>
            </w:pPr>
            <w:r>
              <w:rPr>
                <w:rFonts w:hint="eastAsia" w:ascii="宋体" w:hAnsi="宋体" w:cs="宋体"/>
                <w:bCs/>
                <w:szCs w:val="21"/>
              </w:rPr>
              <w:t>对医院工作通知、投诉在3个工作日内不处理不上报的</w:t>
            </w:r>
          </w:p>
        </w:tc>
        <w:tc>
          <w:tcPr>
            <w:tcW w:w="1546" w:type="dxa"/>
            <w:vAlign w:val="center"/>
          </w:tcPr>
          <w:p>
            <w:pPr>
              <w:spacing w:line="460" w:lineRule="exact"/>
              <w:jc w:val="center"/>
              <w:rPr>
                <w:rFonts w:ascii="宋体" w:hAnsi="宋体" w:cs="宋体"/>
                <w:szCs w:val="21"/>
              </w:rPr>
            </w:pPr>
            <w:r>
              <w:rPr>
                <w:rFonts w:hint="eastAsia" w:ascii="宋体" w:hAnsi="宋体" w:cs="宋体"/>
                <w:szCs w:val="21"/>
              </w:rPr>
              <w:t>500元/次</w:t>
            </w:r>
          </w:p>
        </w:tc>
        <w:tc>
          <w:tcPr>
            <w:tcW w:w="1200" w:type="dxa"/>
            <w:vAlign w:val="center"/>
          </w:tcPr>
          <w:p>
            <w:pPr>
              <w:spacing w:line="460" w:lineRule="exact"/>
              <w:rPr>
                <w:rFonts w:ascii="宋体" w:hAnsi="宋体" w:cs="宋体"/>
                <w:szCs w:val="21"/>
              </w:rPr>
            </w:pPr>
          </w:p>
        </w:tc>
        <w:tc>
          <w:tcPr>
            <w:tcW w:w="1224" w:type="dxa"/>
            <w:vAlign w:val="center"/>
          </w:tcPr>
          <w:p>
            <w:pPr>
              <w:spacing w:line="4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11</w:t>
            </w:r>
          </w:p>
        </w:tc>
        <w:tc>
          <w:tcPr>
            <w:tcW w:w="5964" w:type="dxa"/>
            <w:vAlign w:val="center"/>
          </w:tcPr>
          <w:p>
            <w:pPr>
              <w:spacing w:line="460" w:lineRule="exact"/>
              <w:ind w:right="-109" w:rightChars="-52"/>
              <w:rPr>
                <w:rFonts w:ascii="宋体" w:hAnsi="宋体" w:cs="宋体"/>
                <w:szCs w:val="21"/>
              </w:rPr>
            </w:pPr>
            <w:r>
              <w:rPr>
                <w:rFonts w:hint="eastAsia" w:ascii="宋体" w:hAnsi="宋体" w:cs="宋体"/>
                <w:bCs/>
                <w:szCs w:val="21"/>
              </w:rPr>
              <w:t>利用工作之便索要、收受他人贿赂、贪污公款、谋取私利的</w:t>
            </w:r>
          </w:p>
        </w:tc>
        <w:tc>
          <w:tcPr>
            <w:tcW w:w="1546" w:type="dxa"/>
            <w:vAlign w:val="center"/>
          </w:tcPr>
          <w:p>
            <w:pPr>
              <w:spacing w:line="460" w:lineRule="exact"/>
              <w:jc w:val="center"/>
              <w:rPr>
                <w:rFonts w:ascii="宋体" w:hAnsi="宋体" w:cs="宋体"/>
                <w:szCs w:val="21"/>
              </w:rPr>
            </w:pPr>
            <w:r>
              <w:rPr>
                <w:rFonts w:hint="eastAsia" w:ascii="宋体" w:hAnsi="宋体" w:cs="宋体"/>
                <w:szCs w:val="21"/>
              </w:rPr>
              <w:t>1000元/次</w:t>
            </w:r>
          </w:p>
        </w:tc>
        <w:tc>
          <w:tcPr>
            <w:tcW w:w="1200" w:type="dxa"/>
            <w:vAlign w:val="center"/>
          </w:tcPr>
          <w:p>
            <w:pPr>
              <w:spacing w:line="460" w:lineRule="exact"/>
              <w:rPr>
                <w:rFonts w:ascii="宋体" w:hAnsi="宋体" w:cs="宋体"/>
                <w:szCs w:val="21"/>
              </w:rPr>
            </w:pPr>
          </w:p>
        </w:tc>
        <w:tc>
          <w:tcPr>
            <w:tcW w:w="1224" w:type="dxa"/>
            <w:vAlign w:val="center"/>
          </w:tcPr>
          <w:p>
            <w:pPr>
              <w:spacing w:line="4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12</w:t>
            </w:r>
          </w:p>
        </w:tc>
        <w:tc>
          <w:tcPr>
            <w:tcW w:w="5964" w:type="dxa"/>
          </w:tcPr>
          <w:p>
            <w:pPr>
              <w:spacing w:line="460" w:lineRule="exact"/>
              <w:ind w:right="-109" w:rightChars="-52"/>
              <w:rPr>
                <w:rFonts w:ascii="宋体" w:hAnsi="宋体" w:cs="宋体"/>
                <w:szCs w:val="21"/>
              </w:rPr>
            </w:pPr>
            <w:r>
              <w:rPr>
                <w:rFonts w:hint="eastAsia" w:ascii="宋体" w:hAnsi="宋体" w:cs="宋体"/>
                <w:bCs/>
                <w:szCs w:val="21"/>
              </w:rPr>
              <w:t>发现安全隐患不及时排查、报告的，造成不良后果的</w:t>
            </w:r>
          </w:p>
        </w:tc>
        <w:tc>
          <w:tcPr>
            <w:tcW w:w="1546" w:type="dxa"/>
            <w:vAlign w:val="center"/>
          </w:tcPr>
          <w:p>
            <w:pPr>
              <w:spacing w:line="460" w:lineRule="exact"/>
              <w:jc w:val="center"/>
              <w:rPr>
                <w:rFonts w:ascii="宋体" w:hAnsi="宋体" w:cs="宋体"/>
                <w:szCs w:val="21"/>
              </w:rPr>
            </w:pPr>
            <w:r>
              <w:rPr>
                <w:rFonts w:hint="eastAsia" w:ascii="宋体" w:hAnsi="宋体" w:cs="宋体"/>
                <w:szCs w:val="21"/>
              </w:rPr>
              <w:t>500元/次</w:t>
            </w:r>
          </w:p>
        </w:tc>
        <w:tc>
          <w:tcPr>
            <w:tcW w:w="1200" w:type="dxa"/>
          </w:tcPr>
          <w:p>
            <w:pPr>
              <w:spacing w:line="460" w:lineRule="exact"/>
              <w:rPr>
                <w:rFonts w:ascii="宋体" w:hAnsi="宋体" w:cs="宋体"/>
                <w:szCs w:val="21"/>
              </w:rPr>
            </w:pPr>
          </w:p>
        </w:tc>
        <w:tc>
          <w:tcPr>
            <w:tcW w:w="1224" w:type="dxa"/>
          </w:tcPr>
          <w:p>
            <w:pPr>
              <w:spacing w:line="4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13</w:t>
            </w:r>
          </w:p>
        </w:tc>
        <w:tc>
          <w:tcPr>
            <w:tcW w:w="5964" w:type="dxa"/>
            <w:vAlign w:val="center"/>
          </w:tcPr>
          <w:p>
            <w:pPr>
              <w:spacing w:line="460" w:lineRule="exact"/>
              <w:ind w:right="-109" w:rightChars="-52"/>
              <w:rPr>
                <w:rFonts w:ascii="宋体" w:hAnsi="宋体" w:cs="宋体"/>
                <w:bCs/>
                <w:szCs w:val="21"/>
              </w:rPr>
            </w:pPr>
            <w:r>
              <w:rPr>
                <w:rFonts w:hint="eastAsia" w:ascii="宋体" w:hAnsi="宋体" w:cs="宋体"/>
                <w:bCs/>
                <w:szCs w:val="21"/>
              </w:rPr>
              <w:t>科室医务人员及患者和患者家属投诉并核实的</w:t>
            </w:r>
          </w:p>
        </w:tc>
        <w:tc>
          <w:tcPr>
            <w:tcW w:w="1546" w:type="dxa"/>
            <w:vAlign w:val="center"/>
          </w:tcPr>
          <w:p>
            <w:pPr>
              <w:spacing w:line="460" w:lineRule="exact"/>
              <w:jc w:val="center"/>
              <w:rPr>
                <w:rFonts w:ascii="宋体" w:hAnsi="宋体" w:cs="宋体"/>
                <w:szCs w:val="21"/>
              </w:rPr>
            </w:pPr>
            <w:r>
              <w:rPr>
                <w:rFonts w:hint="eastAsia" w:ascii="宋体" w:hAnsi="宋体" w:cs="宋体"/>
                <w:color w:val="FF0000"/>
                <w:szCs w:val="21"/>
              </w:rPr>
              <w:t>200</w:t>
            </w:r>
            <w:r>
              <w:rPr>
                <w:rFonts w:hint="eastAsia" w:ascii="宋体" w:hAnsi="宋体" w:cs="宋体"/>
                <w:szCs w:val="21"/>
              </w:rPr>
              <w:t>元/次</w:t>
            </w:r>
          </w:p>
        </w:tc>
        <w:tc>
          <w:tcPr>
            <w:tcW w:w="1200" w:type="dxa"/>
          </w:tcPr>
          <w:p>
            <w:pPr>
              <w:spacing w:line="460" w:lineRule="exact"/>
              <w:rPr>
                <w:rFonts w:ascii="宋体" w:hAnsi="宋体" w:cs="宋体"/>
                <w:szCs w:val="21"/>
              </w:rPr>
            </w:pPr>
          </w:p>
        </w:tc>
        <w:tc>
          <w:tcPr>
            <w:tcW w:w="1224" w:type="dxa"/>
          </w:tcPr>
          <w:p>
            <w:pPr>
              <w:spacing w:line="4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14</w:t>
            </w:r>
          </w:p>
        </w:tc>
        <w:tc>
          <w:tcPr>
            <w:tcW w:w="5964" w:type="dxa"/>
          </w:tcPr>
          <w:p>
            <w:pPr>
              <w:spacing w:line="460" w:lineRule="exact"/>
              <w:ind w:right="-109" w:rightChars="-52"/>
              <w:rPr>
                <w:rFonts w:ascii="宋体" w:hAnsi="宋体" w:cs="宋体"/>
                <w:szCs w:val="21"/>
              </w:rPr>
            </w:pPr>
            <w:r>
              <w:rPr>
                <w:rFonts w:hint="eastAsia" w:ascii="宋体" w:hAnsi="宋体" w:cs="宋体"/>
                <w:bCs/>
                <w:szCs w:val="21"/>
              </w:rPr>
              <w:t>主管以上领导手机不24小时开机，工作时间1小时内联系不上的，值班电话不24小时开机或不随身携带的；不接受不配合督查人员查岗的</w:t>
            </w:r>
          </w:p>
        </w:tc>
        <w:tc>
          <w:tcPr>
            <w:tcW w:w="1546" w:type="dxa"/>
            <w:vAlign w:val="center"/>
          </w:tcPr>
          <w:p>
            <w:pPr>
              <w:spacing w:line="460" w:lineRule="exact"/>
              <w:jc w:val="center"/>
              <w:rPr>
                <w:rFonts w:ascii="宋体" w:hAnsi="宋体" w:cs="宋体"/>
                <w:szCs w:val="21"/>
              </w:rPr>
            </w:pPr>
            <w:r>
              <w:rPr>
                <w:rFonts w:hint="eastAsia" w:ascii="宋体" w:hAnsi="宋体" w:cs="宋体"/>
                <w:szCs w:val="21"/>
              </w:rPr>
              <w:t>300元/次</w:t>
            </w:r>
          </w:p>
        </w:tc>
        <w:tc>
          <w:tcPr>
            <w:tcW w:w="1200" w:type="dxa"/>
          </w:tcPr>
          <w:p>
            <w:pPr>
              <w:spacing w:line="460" w:lineRule="exact"/>
              <w:rPr>
                <w:rFonts w:ascii="宋体" w:hAnsi="宋体" w:cs="宋体"/>
                <w:szCs w:val="21"/>
              </w:rPr>
            </w:pPr>
          </w:p>
        </w:tc>
        <w:tc>
          <w:tcPr>
            <w:tcW w:w="1224" w:type="dxa"/>
          </w:tcPr>
          <w:p>
            <w:pPr>
              <w:spacing w:line="4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15</w:t>
            </w:r>
          </w:p>
        </w:tc>
        <w:tc>
          <w:tcPr>
            <w:tcW w:w="5964" w:type="dxa"/>
          </w:tcPr>
          <w:p>
            <w:pPr>
              <w:spacing w:line="460" w:lineRule="exact"/>
              <w:ind w:right="-109" w:rightChars="-52"/>
              <w:rPr>
                <w:rFonts w:ascii="宋体" w:hAnsi="宋体" w:cs="宋体"/>
                <w:szCs w:val="21"/>
              </w:rPr>
            </w:pPr>
            <w:r>
              <w:rPr>
                <w:rFonts w:hint="eastAsia" w:ascii="宋体" w:hAnsi="宋体" w:cs="宋体"/>
                <w:bCs/>
                <w:szCs w:val="21"/>
              </w:rPr>
              <w:t>从业人员违反医院相关管理制度的</w:t>
            </w:r>
          </w:p>
        </w:tc>
        <w:tc>
          <w:tcPr>
            <w:tcW w:w="1546" w:type="dxa"/>
            <w:vAlign w:val="center"/>
          </w:tcPr>
          <w:p>
            <w:pPr>
              <w:spacing w:line="460" w:lineRule="exact"/>
              <w:jc w:val="center"/>
              <w:rPr>
                <w:rFonts w:ascii="宋体" w:hAnsi="宋体" w:cs="宋体"/>
                <w:szCs w:val="21"/>
              </w:rPr>
            </w:pPr>
            <w:r>
              <w:rPr>
                <w:rFonts w:hint="eastAsia" w:ascii="宋体" w:hAnsi="宋体" w:cs="宋体"/>
                <w:szCs w:val="21"/>
              </w:rPr>
              <w:t>300元/次</w:t>
            </w:r>
          </w:p>
        </w:tc>
        <w:tc>
          <w:tcPr>
            <w:tcW w:w="1200" w:type="dxa"/>
          </w:tcPr>
          <w:p>
            <w:pPr>
              <w:spacing w:line="460" w:lineRule="exact"/>
              <w:rPr>
                <w:rFonts w:ascii="宋体" w:hAnsi="宋体" w:cs="宋体"/>
                <w:szCs w:val="21"/>
              </w:rPr>
            </w:pPr>
          </w:p>
        </w:tc>
        <w:tc>
          <w:tcPr>
            <w:tcW w:w="1224" w:type="dxa"/>
          </w:tcPr>
          <w:p>
            <w:pPr>
              <w:spacing w:line="4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16</w:t>
            </w:r>
          </w:p>
        </w:tc>
        <w:tc>
          <w:tcPr>
            <w:tcW w:w="5964" w:type="dxa"/>
            <w:vAlign w:val="center"/>
          </w:tcPr>
          <w:p>
            <w:pPr>
              <w:spacing w:line="460" w:lineRule="exact"/>
              <w:ind w:right="-109" w:rightChars="-52"/>
              <w:rPr>
                <w:rFonts w:ascii="宋体" w:hAnsi="宋体" w:cs="宋体"/>
                <w:szCs w:val="21"/>
              </w:rPr>
            </w:pPr>
            <w:r>
              <w:rPr>
                <w:rFonts w:hint="eastAsia" w:ascii="宋体" w:hAnsi="宋体" w:cs="宋体"/>
                <w:bCs/>
                <w:szCs w:val="21"/>
              </w:rPr>
              <w:t>未按要求上报统计报表、检查维护维修计划的；不按要求上报维保计划，完成维保任务的；</w:t>
            </w:r>
          </w:p>
        </w:tc>
        <w:tc>
          <w:tcPr>
            <w:tcW w:w="1546" w:type="dxa"/>
            <w:vAlign w:val="center"/>
          </w:tcPr>
          <w:p>
            <w:pPr>
              <w:spacing w:line="460" w:lineRule="exact"/>
              <w:jc w:val="center"/>
              <w:rPr>
                <w:rFonts w:ascii="宋体" w:hAnsi="宋体" w:cs="宋体"/>
                <w:szCs w:val="21"/>
              </w:rPr>
            </w:pPr>
            <w:r>
              <w:rPr>
                <w:rFonts w:hint="eastAsia" w:ascii="宋体" w:hAnsi="宋体" w:cs="宋体"/>
                <w:szCs w:val="21"/>
              </w:rPr>
              <w:t>200元/次</w:t>
            </w:r>
          </w:p>
        </w:tc>
        <w:tc>
          <w:tcPr>
            <w:tcW w:w="1200" w:type="dxa"/>
          </w:tcPr>
          <w:p>
            <w:pPr>
              <w:spacing w:line="460" w:lineRule="exact"/>
              <w:rPr>
                <w:rFonts w:ascii="宋体" w:hAnsi="宋体" w:cs="宋体"/>
                <w:szCs w:val="21"/>
              </w:rPr>
            </w:pPr>
          </w:p>
        </w:tc>
        <w:tc>
          <w:tcPr>
            <w:tcW w:w="1224" w:type="dxa"/>
          </w:tcPr>
          <w:p>
            <w:pPr>
              <w:spacing w:line="4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17</w:t>
            </w:r>
          </w:p>
        </w:tc>
        <w:tc>
          <w:tcPr>
            <w:tcW w:w="5964" w:type="dxa"/>
            <w:vAlign w:val="center"/>
          </w:tcPr>
          <w:p>
            <w:pPr>
              <w:spacing w:line="460" w:lineRule="exact"/>
              <w:ind w:right="-109" w:rightChars="-52"/>
              <w:rPr>
                <w:rFonts w:ascii="宋体" w:hAnsi="宋体" w:cs="宋体"/>
                <w:szCs w:val="21"/>
              </w:rPr>
            </w:pPr>
            <w:r>
              <w:rPr>
                <w:rFonts w:hint="eastAsia" w:ascii="宋体" w:hAnsi="宋体" w:cs="宋体"/>
                <w:bCs/>
                <w:szCs w:val="21"/>
              </w:rPr>
              <w:t>不按时间要求交接班的，当班时无工作和交接班记录的；工作范围内文字档案未及时整理归档的</w:t>
            </w:r>
          </w:p>
        </w:tc>
        <w:tc>
          <w:tcPr>
            <w:tcW w:w="1546" w:type="dxa"/>
            <w:vAlign w:val="center"/>
          </w:tcPr>
          <w:p>
            <w:pPr>
              <w:spacing w:line="460" w:lineRule="exact"/>
              <w:jc w:val="center"/>
              <w:rPr>
                <w:rFonts w:ascii="宋体" w:hAnsi="宋体" w:cs="宋体"/>
                <w:szCs w:val="21"/>
              </w:rPr>
            </w:pPr>
            <w:r>
              <w:rPr>
                <w:rFonts w:hint="eastAsia" w:ascii="宋体" w:hAnsi="宋体" w:cs="宋体"/>
                <w:szCs w:val="21"/>
              </w:rPr>
              <w:t>100元/人/次</w:t>
            </w:r>
          </w:p>
        </w:tc>
        <w:tc>
          <w:tcPr>
            <w:tcW w:w="1200" w:type="dxa"/>
          </w:tcPr>
          <w:p>
            <w:pPr>
              <w:spacing w:line="460" w:lineRule="exact"/>
              <w:rPr>
                <w:rFonts w:ascii="宋体" w:hAnsi="宋体" w:cs="宋体"/>
                <w:szCs w:val="21"/>
              </w:rPr>
            </w:pPr>
          </w:p>
        </w:tc>
        <w:tc>
          <w:tcPr>
            <w:tcW w:w="1224" w:type="dxa"/>
          </w:tcPr>
          <w:p>
            <w:pPr>
              <w:spacing w:line="4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18</w:t>
            </w:r>
          </w:p>
        </w:tc>
        <w:tc>
          <w:tcPr>
            <w:tcW w:w="5964" w:type="dxa"/>
            <w:vAlign w:val="center"/>
          </w:tcPr>
          <w:p>
            <w:pPr>
              <w:spacing w:line="460" w:lineRule="exact"/>
              <w:ind w:right="-109" w:rightChars="-52"/>
              <w:rPr>
                <w:rFonts w:ascii="宋体" w:hAnsi="宋体" w:cs="宋体"/>
                <w:szCs w:val="21"/>
              </w:rPr>
            </w:pPr>
            <w:r>
              <w:rPr>
                <w:rFonts w:hint="eastAsia" w:ascii="宋体" w:hAnsi="宋体" w:cs="宋体"/>
                <w:bCs/>
                <w:szCs w:val="21"/>
              </w:rPr>
              <w:t>对医院报修报检项目不按时限要求及时处理，维修响应不及时，消极怠工，态度不端正，造成工作被动，拖拉，不能及时完成任务的，将维修材料私拿私用的</w:t>
            </w:r>
          </w:p>
        </w:tc>
        <w:tc>
          <w:tcPr>
            <w:tcW w:w="1546" w:type="dxa"/>
            <w:vAlign w:val="center"/>
          </w:tcPr>
          <w:p>
            <w:pPr>
              <w:spacing w:line="460" w:lineRule="exact"/>
              <w:jc w:val="center"/>
              <w:rPr>
                <w:rFonts w:ascii="宋体" w:hAnsi="宋体" w:cs="宋体"/>
                <w:szCs w:val="21"/>
              </w:rPr>
            </w:pPr>
            <w:r>
              <w:rPr>
                <w:rFonts w:hint="eastAsia" w:ascii="宋体" w:hAnsi="宋体" w:cs="宋体"/>
                <w:szCs w:val="21"/>
              </w:rPr>
              <w:t>500元/次</w:t>
            </w:r>
          </w:p>
        </w:tc>
        <w:tc>
          <w:tcPr>
            <w:tcW w:w="1200" w:type="dxa"/>
          </w:tcPr>
          <w:p>
            <w:pPr>
              <w:spacing w:line="460" w:lineRule="exact"/>
              <w:rPr>
                <w:rFonts w:ascii="宋体" w:hAnsi="宋体" w:cs="宋体"/>
                <w:szCs w:val="21"/>
              </w:rPr>
            </w:pPr>
          </w:p>
        </w:tc>
        <w:tc>
          <w:tcPr>
            <w:tcW w:w="1224" w:type="dxa"/>
          </w:tcPr>
          <w:p>
            <w:pPr>
              <w:spacing w:line="4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19</w:t>
            </w:r>
          </w:p>
        </w:tc>
        <w:tc>
          <w:tcPr>
            <w:tcW w:w="5964" w:type="dxa"/>
            <w:vAlign w:val="center"/>
          </w:tcPr>
          <w:p>
            <w:pPr>
              <w:spacing w:line="460" w:lineRule="exact"/>
              <w:ind w:right="-109" w:rightChars="-52"/>
              <w:rPr>
                <w:rFonts w:ascii="宋体" w:hAnsi="宋体" w:cs="宋体"/>
                <w:szCs w:val="21"/>
              </w:rPr>
            </w:pPr>
            <w:r>
              <w:rPr>
                <w:rFonts w:hint="eastAsia" w:ascii="宋体" w:hAnsi="宋体" w:cs="宋体"/>
                <w:bCs/>
                <w:szCs w:val="21"/>
              </w:rPr>
              <w:t>迟到早退，脱岗、睡岗、酒后上岗的；工作散漫，粗心大意造成工作差错的；不穿工作服、不带工作牌；不按要求检查、记录的；在禁烟区吸烟的；拾遗不报的；上班时间干私活的；工作时间吃喝、读书看报、打牌、听音乐、下棋、会客、玩手机等做与工作无关事情的；</w:t>
            </w:r>
          </w:p>
        </w:tc>
        <w:tc>
          <w:tcPr>
            <w:tcW w:w="1546" w:type="dxa"/>
            <w:vAlign w:val="center"/>
          </w:tcPr>
          <w:p>
            <w:pPr>
              <w:spacing w:line="460" w:lineRule="exact"/>
              <w:jc w:val="center"/>
              <w:rPr>
                <w:rFonts w:ascii="宋体" w:hAnsi="宋体" w:cs="宋体"/>
                <w:szCs w:val="21"/>
              </w:rPr>
            </w:pPr>
            <w:r>
              <w:rPr>
                <w:rFonts w:hint="eastAsia" w:ascii="宋体" w:hAnsi="宋体" w:cs="宋体"/>
                <w:szCs w:val="21"/>
              </w:rPr>
              <w:t>500元/人/次</w:t>
            </w:r>
          </w:p>
        </w:tc>
        <w:tc>
          <w:tcPr>
            <w:tcW w:w="1200" w:type="dxa"/>
          </w:tcPr>
          <w:p>
            <w:pPr>
              <w:spacing w:line="460" w:lineRule="exact"/>
              <w:rPr>
                <w:rFonts w:ascii="宋体" w:hAnsi="宋体" w:cs="宋体"/>
                <w:szCs w:val="21"/>
              </w:rPr>
            </w:pPr>
          </w:p>
        </w:tc>
        <w:tc>
          <w:tcPr>
            <w:tcW w:w="1224" w:type="dxa"/>
          </w:tcPr>
          <w:p>
            <w:pPr>
              <w:spacing w:line="4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20</w:t>
            </w:r>
          </w:p>
        </w:tc>
        <w:tc>
          <w:tcPr>
            <w:tcW w:w="5964" w:type="dxa"/>
            <w:vAlign w:val="center"/>
          </w:tcPr>
          <w:p>
            <w:pPr>
              <w:spacing w:line="460" w:lineRule="exact"/>
              <w:ind w:right="-109" w:rightChars="-52"/>
              <w:rPr>
                <w:rFonts w:ascii="宋体" w:hAnsi="宋体" w:cs="宋体"/>
                <w:szCs w:val="21"/>
              </w:rPr>
            </w:pPr>
            <w:r>
              <w:rPr>
                <w:rFonts w:hint="eastAsia" w:ascii="宋体" w:hAnsi="宋体" w:cs="宋体"/>
                <w:bCs/>
                <w:szCs w:val="21"/>
              </w:rPr>
              <w:t>值班室、设备间、电井房等工作管辖区域或管辖设施设备脏乱差的；对管理区域内设施设备不检查不登记心中无数的</w:t>
            </w:r>
          </w:p>
        </w:tc>
        <w:tc>
          <w:tcPr>
            <w:tcW w:w="1546" w:type="dxa"/>
            <w:vAlign w:val="center"/>
          </w:tcPr>
          <w:p>
            <w:pPr>
              <w:spacing w:line="460" w:lineRule="exact"/>
              <w:jc w:val="center"/>
              <w:rPr>
                <w:rFonts w:ascii="宋体" w:hAnsi="宋体" w:cs="宋体"/>
                <w:szCs w:val="21"/>
              </w:rPr>
            </w:pPr>
            <w:r>
              <w:rPr>
                <w:rFonts w:hint="eastAsia" w:ascii="宋体" w:hAnsi="宋体" w:cs="宋体"/>
                <w:szCs w:val="21"/>
              </w:rPr>
              <w:t>200元/次</w:t>
            </w:r>
          </w:p>
        </w:tc>
        <w:tc>
          <w:tcPr>
            <w:tcW w:w="1200" w:type="dxa"/>
          </w:tcPr>
          <w:p>
            <w:pPr>
              <w:spacing w:line="460" w:lineRule="exact"/>
              <w:rPr>
                <w:rFonts w:ascii="宋体" w:hAnsi="宋体" w:cs="宋体"/>
                <w:szCs w:val="21"/>
              </w:rPr>
            </w:pPr>
          </w:p>
        </w:tc>
        <w:tc>
          <w:tcPr>
            <w:tcW w:w="1224" w:type="dxa"/>
          </w:tcPr>
          <w:p>
            <w:pPr>
              <w:spacing w:line="4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21</w:t>
            </w:r>
          </w:p>
        </w:tc>
        <w:tc>
          <w:tcPr>
            <w:tcW w:w="5964" w:type="dxa"/>
            <w:vAlign w:val="center"/>
          </w:tcPr>
          <w:p>
            <w:pPr>
              <w:spacing w:line="460" w:lineRule="exact"/>
              <w:ind w:right="-109" w:rightChars="-52"/>
              <w:rPr>
                <w:rFonts w:ascii="宋体" w:hAnsi="宋体" w:cs="宋体"/>
                <w:szCs w:val="21"/>
              </w:rPr>
            </w:pPr>
            <w:r>
              <w:rPr>
                <w:rFonts w:hint="eastAsia" w:ascii="宋体" w:hAnsi="宋体" w:cs="宋体"/>
                <w:bCs/>
                <w:szCs w:val="21"/>
              </w:rPr>
              <w:t>顶撞院方或患者，与患者发生言语、肢体冲突，在医院打架斗殴酗酒闹事的</w:t>
            </w:r>
          </w:p>
        </w:tc>
        <w:tc>
          <w:tcPr>
            <w:tcW w:w="1546" w:type="dxa"/>
            <w:vAlign w:val="center"/>
          </w:tcPr>
          <w:p>
            <w:pPr>
              <w:spacing w:line="460" w:lineRule="exact"/>
              <w:jc w:val="center"/>
              <w:rPr>
                <w:rFonts w:ascii="宋体" w:hAnsi="宋体" w:cs="宋体"/>
                <w:szCs w:val="21"/>
              </w:rPr>
            </w:pPr>
            <w:r>
              <w:rPr>
                <w:rFonts w:hint="eastAsia" w:ascii="宋体" w:hAnsi="宋体" w:cs="宋体"/>
                <w:szCs w:val="21"/>
              </w:rPr>
              <w:t>1000元/人/次</w:t>
            </w:r>
          </w:p>
        </w:tc>
        <w:tc>
          <w:tcPr>
            <w:tcW w:w="1200" w:type="dxa"/>
          </w:tcPr>
          <w:p>
            <w:pPr>
              <w:spacing w:line="460" w:lineRule="exact"/>
              <w:rPr>
                <w:rFonts w:ascii="宋体" w:hAnsi="宋体" w:cs="宋体"/>
                <w:szCs w:val="21"/>
              </w:rPr>
            </w:pPr>
          </w:p>
        </w:tc>
        <w:tc>
          <w:tcPr>
            <w:tcW w:w="1224" w:type="dxa"/>
          </w:tcPr>
          <w:p>
            <w:pPr>
              <w:spacing w:line="4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22</w:t>
            </w:r>
          </w:p>
        </w:tc>
        <w:tc>
          <w:tcPr>
            <w:tcW w:w="5964" w:type="dxa"/>
            <w:vAlign w:val="center"/>
          </w:tcPr>
          <w:p>
            <w:pPr>
              <w:spacing w:line="460" w:lineRule="exact"/>
              <w:ind w:right="-109" w:rightChars="-52"/>
              <w:rPr>
                <w:rFonts w:ascii="宋体" w:hAnsi="宋体" w:cs="宋体"/>
                <w:szCs w:val="21"/>
              </w:rPr>
            </w:pPr>
            <w:r>
              <w:rPr>
                <w:rFonts w:hint="eastAsia" w:ascii="宋体" w:hAnsi="宋体" w:cs="宋体"/>
                <w:bCs/>
                <w:szCs w:val="21"/>
              </w:rPr>
              <w:t>乱丢垃圾、乱写乱画，故意损坏医院财物的，需按原价赔偿；</w:t>
            </w:r>
          </w:p>
        </w:tc>
        <w:tc>
          <w:tcPr>
            <w:tcW w:w="1546" w:type="dxa"/>
            <w:vAlign w:val="center"/>
          </w:tcPr>
          <w:p>
            <w:pPr>
              <w:spacing w:line="460" w:lineRule="exact"/>
              <w:jc w:val="center"/>
              <w:rPr>
                <w:rFonts w:ascii="宋体" w:hAnsi="宋体" w:cs="宋体"/>
                <w:szCs w:val="21"/>
              </w:rPr>
            </w:pPr>
            <w:r>
              <w:rPr>
                <w:rFonts w:hint="eastAsia" w:ascii="宋体" w:hAnsi="宋体" w:cs="宋体"/>
                <w:szCs w:val="21"/>
              </w:rPr>
              <w:t>500元/次</w:t>
            </w:r>
          </w:p>
        </w:tc>
        <w:tc>
          <w:tcPr>
            <w:tcW w:w="1200" w:type="dxa"/>
          </w:tcPr>
          <w:p>
            <w:pPr>
              <w:spacing w:line="460" w:lineRule="exact"/>
              <w:rPr>
                <w:rFonts w:ascii="宋体" w:hAnsi="宋体" w:cs="宋体"/>
                <w:szCs w:val="21"/>
              </w:rPr>
            </w:pPr>
          </w:p>
        </w:tc>
        <w:tc>
          <w:tcPr>
            <w:tcW w:w="1224" w:type="dxa"/>
          </w:tcPr>
          <w:p>
            <w:pPr>
              <w:spacing w:line="4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23</w:t>
            </w:r>
          </w:p>
        </w:tc>
        <w:tc>
          <w:tcPr>
            <w:tcW w:w="5964" w:type="dxa"/>
            <w:vAlign w:val="center"/>
          </w:tcPr>
          <w:p>
            <w:pPr>
              <w:spacing w:line="460" w:lineRule="exact"/>
              <w:ind w:right="-109" w:rightChars="-52"/>
              <w:rPr>
                <w:rFonts w:ascii="宋体" w:hAnsi="宋体" w:cs="宋体"/>
                <w:bCs/>
                <w:szCs w:val="21"/>
              </w:rPr>
            </w:pPr>
            <w:r>
              <w:rPr>
                <w:rFonts w:hint="eastAsia" w:ascii="宋体" w:hAnsi="宋体" w:cs="宋体"/>
                <w:bCs/>
                <w:szCs w:val="21"/>
              </w:rPr>
              <w:t>当月运维服务满意度不达标的</w:t>
            </w:r>
          </w:p>
        </w:tc>
        <w:tc>
          <w:tcPr>
            <w:tcW w:w="1546" w:type="dxa"/>
            <w:vAlign w:val="center"/>
          </w:tcPr>
          <w:p>
            <w:pPr>
              <w:spacing w:line="460" w:lineRule="exact"/>
              <w:jc w:val="center"/>
              <w:rPr>
                <w:rFonts w:ascii="宋体" w:hAnsi="宋体" w:cs="宋体"/>
                <w:szCs w:val="21"/>
              </w:rPr>
            </w:pPr>
            <w:r>
              <w:rPr>
                <w:rFonts w:hint="eastAsia" w:ascii="宋体" w:hAnsi="宋体" w:cs="宋体"/>
                <w:bCs/>
                <w:szCs w:val="21"/>
              </w:rPr>
              <w:t>低于90%的每下降1%罚款100元，低于80%的每下降1%罚款</w:t>
            </w:r>
            <w:r>
              <w:rPr>
                <w:rFonts w:hint="eastAsia" w:ascii="宋体" w:hAnsi="宋体" w:cs="宋体"/>
                <w:bCs/>
                <w:color w:val="FF0000"/>
                <w:szCs w:val="21"/>
              </w:rPr>
              <w:t>300</w:t>
            </w:r>
            <w:r>
              <w:rPr>
                <w:rFonts w:hint="eastAsia" w:ascii="宋体" w:hAnsi="宋体" w:cs="宋体"/>
                <w:bCs/>
                <w:szCs w:val="21"/>
              </w:rPr>
              <w:t>元</w:t>
            </w:r>
          </w:p>
        </w:tc>
        <w:tc>
          <w:tcPr>
            <w:tcW w:w="1200" w:type="dxa"/>
          </w:tcPr>
          <w:p>
            <w:pPr>
              <w:spacing w:line="460" w:lineRule="exact"/>
              <w:rPr>
                <w:rFonts w:ascii="宋体" w:hAnsi="宋体" w:cs="宋体"/>
                <w:szCs w:val="21"/>
              </w:rPr>
            </w:pPr>
          </w:p>
        </w:tc>
        <w:tc>
          <w:tcPr>
            <w:tcW w:w="1224" w:type="dxa"/>
          </w:tcPr>
          <w:p>
            <w:pPr>
              <w:spacing w:line="4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676" w:type="dxa"/>
            <w:vAlign w:val="center"/>
          </w:tcPr>
          <w:p>
            <w:pPr>
              <w:spacing w:line="460" w:lineRule="exact"/>
              <w:jc w:val="center"/>
              <w:rPr>
                <w:rFonts w:ascii="宋体" w:hAnsi="宋体" w:cs="宋体"/>
                <w:szCs w:val="21"/>
              </w:rPr>
            </w:pPr>
            <w:r>
              <w:rPr>
                <w:rFonts w:hint="eastAsia" w:ascii="宋体" w:hAnsi="宋体" w:cs="宋体"/>
                <w:szCs w:val="21"/>
              </w:rPr>
              <w:t>24</w:t>
            </w:r>
          </w:p>
        </w:tc>
        <w:tc>
          <w:tcPr>
            <w:tcW w:w="5964" w:type="dxa"/>
            <w:vAlign w:val="center"/>
          </w:tcPr>
          <w:p>
            <w:pPr>
              <w:spacing w:line="460" w:lineRule="exact"/>
              <w:ind w:right="-109" w:rightChars="-52"/>
              <w:rPr>
                <w:rFonts w:ascii="宋体" w:hAnsi="宋体" w:cs="宋体"/>
                <w:bCs/>
                <w:szCs w:val="21"/>
              </w:rPr>
            </w:pPr>
            <w:r>
              <w:rPr>
                <w:rFonts w:hint="eastAsia" w:ascii="宋体" w:hAnsi="宋体" w:cs="宋体"/>
                <w:szCs w:val="21"/>
              </w:rPr>
              <w:t>因中标人原因未完成合同要求项目时，按照未完成的比例（比例由采购人验收确认）进行处罚</w:t>
            </w:r>
          </w:p>
        </w:tc>
        <w:tc>
          <w:tcPr>
            <w:tcW w:w="1546" w:type="dxa"/>
            <w:vAlign w:val="center"/>
          </w:tcPr>
          <w:p>
            <w:pPr>
              <w:spacing w:line="460" w:lineRule="exact"/>
              <w:jc w:val="center"/>
              <w:rPr>
                <w:rFonts w:ascii="宋体" w:hAnsi="宋体" w:cs="宋体"/>
                <w:bCs/>
                <w:szCs w:val="21"/>
              </w:rPr>
            </w:pPr>
            <w:r>
              <w:rPr>
                <w:rFonts w:hint="eastAsia" w:ascii="宋体" w:hAnsi="宋体" w:cs="宋体"/>
                <w:bCs/>
                <w:szCs w:val="21"/>
              </w:rPr>
              <w:t>未完成1%罚款</w:t>
            </w:r>
            <w:r>
              <w:rPr>
                <w:rFonts w:hint="eastAsia" w:ascii="宋体" w:hAnsi="宋体" w:cs="宋体"/>
                <w:bCs/>
                <w:color w:val="FF0000"/>
                <w:szCs w:val="21"/>
              </w:rPr>
              <w:t>300</w:t>
            </w:r>
            <w:r>
              <w:rPr>
                <w:rFonts w:hint="eastAsia" w:ascii="宋体" w:hAnsi="宋体" w:cs="宋体"/>
                <w:bCs/>
                <w:szCs w:val="21"/>
              </w:rPr>
              <w:t>元，不足1%的按1%计算</w:t>
            </w:r>
          </w:p>
        </w:tc>
        <w:tc>
          <w:tcPr>
            <w:tcW w:w="1200" w:type="dxa"/>
          </w:tcPr>
          <w:p>
            <w:pPr>
              <w:spacing w:line="460" w:lineRule="exact"/>
              <w:rPr>
                <w:rFonts w:ascii="宋体" w:hAnsi="宋体" w:cs="宋体"/>
                <w:szCs w:val="21"/>
              </w:rPr>
            </w:pPr>
          </w:p>
        </w:tc>
        <w:tc>
          <w:tcPr>
            <w:tcW w:w="1224" w:type="dxa"/>
          </w:tcPr>
          <w:p>
            <w:pPr>
              <w:spacing w:line="460" w:lineRule="exact"/>
              <w:rPr>
                <w:rFonts w:ascii="宋体" w:hAnsi="宋体" w:cs="宋体"/>
                <w:szCs w:val="21"/>
              </w:rPr>
            </w:pPr>
          </w:p>
        </w:tc>
      </w:tr>
    </w:tbl>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7258721"/>
    </w:sdtPr>
    <w:sdtContent>
      <w:p>
        <w:pPr>
          <w:pStyle w:val="5"/>
        </w:pPr>
        <w:r>
          <w:fldChar w:fldCharType="begin"/>
        </w:r>
        <w:r>
          <w:instrText xml:space="preserve">PAGE   \* MERGEFORMAT</w:instrText>
        </w:r>
        <w:r>
          <w:fldChar w:fldCharType="separate"/>
        </w:r>
        <w:r>
          <w:rPr>
            <w:lang w:val="zh-CN"/>
          </w:rPr>
          <w:t>1</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18DF5A"/>
    <w:multiLevelType w:val="singleLevel"/>
    <w:tmpl w:val="B418DF5A"/>
    <w:lvl w:ilvl="0" w:tentative="0">
      <w:start w:val="1"/>
      <w:numFmt w:val="chineseCounting"/>
      <w:suff w:val="nothing"/>
      <w:lvlText w:val="%1、"/>
      <w:lvlJc w:val="left"/>
      <w:rPr>
        <w:rFonts w:hint="eastAsia"/>
      </w:rPr>
    </w:lvl>
  </w:abstractNum>
  <w:abstractNum w:abstractNumId="1">
    <w:nsid w:val="CD92E131"/>
    <w:multiLevelType w:val="singleLevel"/>
    <w:tmpl w:val="CD92E131"/>
    <w:lvl w:ilvl="0" w:tentative="0">
      <w:start w:val="2"/>
      <w:numFmt w:val="decimal"/>
      <w:suff w:val="space"/>
      <w:lvlText w:val="%1)"/>
      <w:lvlJc w:val="left"/>
    </w:lvl>
  </w:abstractNum>
  <w:abstractNum w:abstractNumId="2">
    <w:nsid w:val="27AA64B4"/>
    <w:multiLevelType w:val="multilevel"/>
    <w:tmpl w:val="27AA64B4"/>
    <w:lvl w:ilvl="0" w:tentative="0">
      <w:start w:val="1"/>
      <w:numFmt w:val="decimal"/>
      <w:lvlText w:val="%1、"/>
      <w:lvlJc w:val="left"/>
      <w:pPr>
        <w:ind w:left="360" w:hanging="36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C4063AD"/>
    <w:multiLevelType w:val="singleLevel"/>
    <w:tmpl w:val="3C4063AD"/>
    <w:lvl w:ilvl="0" w:tentative="0">
      <w:start w:val="1"/>
      <w:numFmt w:val="decimal"/>
      <w:suff w:val="space"/>
      <w:lvlText w:val="%1）"/>
      <w:lvlJc w:val="left"/>
    </w:lvl>
  </w:abstractNum>
  <w:abstractNum w:abstractNumId="4">
    <w:nsid w:val="4894C50C"/>
    <w:multiLevelType w:val="singleLevel"/>
    <w:tmpl w:val="4894C50C"/>
    <w:lvl w:ilvl="0" w:tentative="0">
      <w:start w:val="1"/>
      <w:numFmt w:val="decimal"/>
      <w:suff w:val="nothing"/>
      <w:lvlText w:val="%1、"/>
      <w:lvlJc w:val="left"/>
    </w:lvl>
  </w:abstractNum>
  <w:num w:numId="1">
    <w:abstractNumId w:val="0"/>
  </w:num>
  <w:num w:numId="2">
    <w:abstractNumId w:val="4"/>
  </w:num>
  <w:num w:numId="3">
    <w:abstractNumId w:val="3"/>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xNTJmMGVjNDhkNDVkMjRjNjUyMWU0ZWYzOTQ5ZDMifQ=="/>
  </w:docVars>
  <w:rsids>
    <w:rsidRoot w:val="00235057"/>
    <w:rsid w:val="00062163"/>
    <w:rsid w:val="00081E68"/>
    <w:rsid w:val="000873FC"/>
    <w:rsid w:val="00095A31"/>
    <w:rsid w:val="00095B2A"/>
    <w:rsid w:val="00102FA2"/>
    <w:rsid w:val="00110AEF"/>
    <w:rsid w:val="001262AE"/>
    <w:rsid w:val="00134CC9"/>
    <w:rsid w:val="001427DE"/>
    <w:rsid w:val="001441F1"/>
    <w:rsid w:val="0014457B"/>
    <w:rsid w:val="0015361C"/>
    <w:rsid w:val="00161911"/>
    <w:rsid w:val="00174CD8"/>
    <w:rsid w:val="0018528E"/>
    <w:rsid w:val="001A351B"/>
    <w:rsid w:val="001A3DD7"/>
    <w:rsid w:val="001D22E3"/>
    <w:rsid w:val="001D3EA6"/>
    <w:rsid w:val="002024E7"/>
    <w:rsid w:val="002337CA"/>
    <w:rsid w:val="00235057"/>
    <w:rsid w:val="002365BB"/>
    <w:rsid w:val="002379EF"/>
    <w:rsid w:val="00253F00"/>
    <w:rsid w:val="00254C77"/>
    <w:rsid w:val="0026229E"/>
    <w:rsid w:val="002853EB"/>
    <w:rsid w:val="00297383"/>
    <w:rsid w:val="002C5E1E"/>
    <w:rsid w:val="00352363"/>
    <w:rsid w:val="00373ADE"/>
    <w:rsid w:val="003B0AEE"/>
    <w:rsid w:val="003E501F"/>
    <w:rsid w:val="003F2F0F"/>
    <w:rsid w:val="003F4407"/>
    <w:rsid w:val="003F6B17"/>
    <w:rsid w:val="004012A3"/>
    <w:rsid w:val="0046723C"/>
    <w:rsid w:val="00492014"/>
    <w:rsid w:val="0049245D"/>
    <w:rsid w:val="004A0C7A"/>
    <w:rsid w:val="004A3FF9"/>
    <w:rsid w:val="004D472E"/>
    <w:rsid w:val="00535998"/>
    <w:rsid w:val="0053651B"/>
    <w:rsid w:val="00556EED"/>
    <w:rsid w:val="0056745B"/>
    <w:rsid w:val="00596581"/>
    <w:rsid w:val="005A3B79"/>
    <w:rsid w:val="00617321"/>
    <w:rsid w:val="00626D2A"/>
    <w:rsid w:val="00635168"/>
    <w:rsid w:val="00651E03"/>
    <w:rsid w:val="00657786"/>
    <w:rsid w:val="006807F5"/>
    <w:rsid w:val="00682DF9"/>
    <w:rsid w:val="00682FA2"/>
    <w:rsid w:val="006C7EF7"/>
    <w:rsid w:val="006D42E5"/>
    <w:rsid w:val="006D64FF"/>
    <w:rsid w:val="00702315"/>
    <w:rsid w:val="0070382C"/>
    <w:rsid w:val="00731BEA"/>
    <w:rsid w:val="00733DE5"/>
    <w:rsid w:val="007420CD"/>
    <w:rsid w:val="00776202"/>
    <w:rsid w:val="00797B15"/>
    <w:rsid w:val="007B1B25"/>
    <w:rsid w:val="007B4559"/>
    <w:rsid w:val="007C4D1A"/>
    <w:rsid w:val="007D604C"/>
    <w:rsid w:val="00833693"/>
    <w:rsid w:val="008476EC"/>
    <w:rsid w:val="0089145D"/>
    <w:rsid w:val="008B2958"/>
    <w:rsid w:val="008D4BB5"/>
    <w:rsid w:val="008D7317"/>
    <w:rsid w:val="008E1D4D"/>
    <w:rsid w:val="008F4350"/>
    <w:rsid w:val="0090630F"/>
    <w:rsid w:val="00910E46"/>
    <w:rsid w:val="00917F89"/>
    <w:rsid w:val="00935DFD"/>
    <w:rsid w:val="00945559"/>
    <w:rsid w:val="00947773"/>
    <w:rsid w:val="00947990"/>
    <w:rsid w:val="009747DE"/>
    <w:rsid w:val="009A792F"/>
    <w:rsid w:val="009D3757"/>
    <w:rsid w:val="009D743C"/>
    <w:rsid w:val="009D7F37"/>
    <w:rsid w:val="009F26E6"/>
    <w:rsid w:val="009F4D69"/>
    <w:rsid w:val="00A4442A"/>
    <w:rsid w:val="00A62154"/>
    <w:rsid w:val="00A93608"/>
    <w:rsid w:val="00A965FF"/>
    <w:rsid w:val="00AD7361"/>
    <w:rsid w:val="00AE451A"/>
    <w:rsid w:val="00B12915"/>
    <w:rsid w:val="00B34353"/>
    <w:rsid w:val="00B54590"/>
    <w:rsid w:val="00B936D6"/>
    <w:rsid w:val="00BA27AF"/>
    <w:rsid w:val="00BB5B17"/>
    <w:rsid w:val="00BC638E"/>
    <w:rsid w:val="00BD25B5"/>
    <w:rsid w:val="00C23077"/>
    <w:rsid w:val="00C47856"/>
    <w:rsid w:val="00CC3DEF"/>
    <w:rsid w:val="00CF2836"/>
    <w:rsid w:val="00D03414"/>
    <w:rsid w:val="00D3562F"/>
    <w:rsid w:val="00D74637"/>
    <w:rsid w:val="00D81F12"/>
    <w:rsid w:val="00DE047D"/>
    <w:rsid w:val="00E02A20"/>
    <w:rsid w:val="00E240F8"/>
    <w:rsid w:val="00E54056"/>
    <w:rsid w:val="00E578F2"/>
    <w:rsid w:val="00E67606"/>
    <w:rsid w:val="00E72C26"/>
    <w:rsid w:val="00EB67D0"/>
    <w:rsid w:val="00F00DD5"/>
    <w:rsid w:val="00F0603D"/>
    <w:rsid w:val="00F06445"/>
    <w:rsid w:val="00F80D51"/>
    <w:rsid w:val="00FC1323"/>
    <w:rsid w:val="00FE462A"/>
    <w:rsid w:val="00FF7C71"/>
    <w:rsid w:val="019E23B3"/>
    <w:rsid w:val="02975ACD"/>
    <w:rsid w:val="05695C48"/>
    <w:rsid w:val="06E0566B"/>
    <w:rsid w:val="0765060B"/>
    <w:rsid w:val="083E2F6B"/>
    <w:rsid w:val="0B9B0319"/>
    <w:rsid w:val="0D9E17EC"/>
    <w:rsid w:val="0F310394"/>
    <w:rsid w:val="12071DA1"/>
    <w:rsid w:val="1241348A"/>
    <w:rsid w:val="17912EB8"/>
    <w:rsid w:val="179F70D1"/>
    <w:rsid w:val="18F91420"/>
    <w:rsid w:val="1A4B0B32"/>
    <w:rsid w:val="1B98309D"/>
    <w:rsid w:val="1D63476B"/>
    <w:rsid w:val="1F1A6E88"/>
    <w:rsid w:val="2061072D"/>
    <w:rsid w:val="22DB7570"/>
    <w:rsid w:val="239A359C"/>
    <w:rsid w:val="249463E4"/>
    <w:rsid w:val="250E5B13"/>
    <w:rsid w:val="25BE6FE6"/>
    <w:rsid w:val="27B42054"/>
    <w:rsid w:val="29015BC3"/>
    <w:rsid w:val="2A7975BE"/>
    <w:rsid w:val="2C081405"/>
    <w:rsid w:val="2CEC353A"/>
    <w:rsid w:val="2D0A65F3"/>
    <w:rsid w:val="2E2A2485"/>
    <w:rsid w:val="2EF74B19"/>
    <w:rsid w:val="2F471516"/>
    <w:rsid w:val="33690F44"/>
    <w:rsid w:val="34034262"/>
    <w:rsid w:val="34CA32A8"/>
    <w:rsid w:val="355D3219"/>
    <w:rsid w:val="35B275CB"/>
    <w:rsid w:val="37874E28"/>
    <w:rsid w:val="3CFC071D"/>
    <w:rsid w:val="3E34016E"/>
    <w:rsid w:val="3F260CB8"/>
    <w:rsid w:val="3F78302F"/>
    <w:rsid w:val="3FAE5104"/>
    <w:rsid w:val="40D95004"/>
    <w:rsid w:val="4172372A"/>
    <w:rsid w:val="41A10754"/>
    <w:rsid w:val="41DD20B6"/>
    <w:rsid w:val="45CA29A4"/>
    <w:rsid w:val="47C722D4"/>
    <w:rsid w:val="48644951"/>
    <w:rsid w:val="487171B8"/>
    <w:rsid w:val="4937272B"/>
    <w:rsid w:val="4A0D4A19"/>
    <w:rsid w:val="4A140E14"/>
    <w:rsid w:val="4B2F0C56"/>
    <w:rsid w:val="4C496836"/>
    <w:rsid w:val="4F2711ED"/>
    <w:rsid w:val="4F6242F8"/>
    <w:rsid w:val="51360F4D"/>
    <w:rsid w:val="51656219"/>
    <w:rsid w:val="53960064"/>
    <w:rsid w:val="54456651"/>
    <w:rsid w:val="55251B4F"/>
    <w:rsid w:val="55AA576C"/>
    <w:rsid w:val="58186F97"/>
    <w:rsid w:val="58C85AB5"/>
    <w:rsid w:val="59F03167"/>
    <w:rsid w:val="5A7D6343"/>
    <w:rsid w:val="5EA91CED"/>
    <w:rsid w:val="616B767F"/>
    <w:rsid w:val="618F2A1B"/>
    <w:rsid w:val="61BD5AE9"/>
    <w:rsid w:val="624B4453"/>
    <w:rsid w:val="626B7F86"/>
    <w:rsid w:val="628A7C56"/>
    <w:rsid w:val="64116879"/>
    <w:rsid w:val="64276722"/>
    <w:rsid w:val="657C1F80"/>
    <w:rsid w:val="661E50E3"/>
    <w:rsid w:val="67D025B3"/>
    <w:rsid w:val="687142E8"/>
    <w:rsid w:val="68754EED"/>
    <w:rsid w:val="6AC66C31"/>
    <w:rsid w:val="6BD20172"/>
    <w:rsid w:val="6C234B0A"/>
    <w:rsid w:val="6D0F33FD"/>
    <w:rsid w:val="6D756624"/>
    <w:rsid w:val="6DBB3A8B"/>
    <w:rsid w:val="6ECC6BD6"/>
    <w:rsid w:val="6EF51F98"/>
    <w:rsid w:val="701E4F19"/>
    <w:rsid w:val="70B443D9"/>
    <w:rsid w:val="72062BA0"/>
    <w:rsid w:val="736D487B"/>
    <w:rsid w:val="739608C5"/>
    <w:rsid w:val="76695353"/>
    <w:rsid w:val="79304861"/>
    <w:rsid w:val="79435A80"/>
    <w:rsid w:val="797966B1"/>
    <w:rsid w:val="7CEF4A26"/>
    <w:rsid w:val="7D541AAE"/>
    <w:rsid w:val="7D733B0F"/>
    <w:rsid w:val="7E0B1A32"/>
    <w:rsid w:val="7E474539"/>
    <w:rsid w:val="7F7C10C4"/>
    <w:rsid w:val="DF2D2D7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15"/>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w:basedOn w:val="1"/>
    <w:next w:val="1"/>
    <w:link w:val="23"/>
    <w:qFormat/>
    <w:uiPriority w:val="99"/>
    <w:pPr>
      <w:spacing w:after="120"/>
    </w:pPr>
    <w:rPr>
      <w:rFonts w:ascii="Times New Roman" w:hAnsi="Times New Roman" w:eastAsia="宋体" w:cs="Times New Roman"/>
    </w:rPr>
  </w:style>
  <w:style w:type="paragraph" w:styleId="4">
    <w:name w:val="Body Text Indent"/>
    <w:basedOn w:val="1"/>
    <w:link w:val="24"/>
    <w:qFormat/>
    <w:uiPriority w:val="0"/>
    <w:pPr>
      <w:spacing w:after="120"/>
      <w:ind w:left="420" w:leftChars="200"/>
    </w:pPr>
  </w:style>
  <w:style w:type="paragraph" w:styleId="5">
    <w:name w:val="footer"/>
    <w:basedOn w:val="1"/>
    <w:link w:val="14"/>
    <w:uiPriority w:val="0"/>
    <w:pPr>
      <w:tabs>
        <w:tab w:val="center" w:pos="4153"/>
        <w:tab w:val="right" w:pos="8306"/>
      </w:tabs>
      <w:snapToGrid w:val="0"/>
      <w:jc w:val="left"/>
    </w:pPr>
    <w:rPr>
      <w:sz w:val="18"/>
      <w:szCs w:val="18"/>
    </w:rPr>
  </w:style>
  <w:style w:type="paragraph" w:styleId="6">
    <w:name w:val="header"/>
    <w:basedOn w:val="1"/>
    <w:link w:val="13"/>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Body Text First Indent 2"/>
    <w:basedOn w:val="4"/>
    <w:link w:val="25"/>
    <w:uiPriority w:val="0"/>
    <w:pPr>
      <w:ind w:firstLine="420" w:firstLineChars="200"/>
    </w:p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customStyle="1" w:styleId="13">
    <w:name w:val="页眉 Char"/>
    <w:basedOn w:val="11"/>
    <w:link w:val="6"/>
    <w:qFormat/>
    <w:uiPriority w:val="0"/>
    <w:rPr>
      <w:rFonts w:asciiTheme="minorHAnsi" w:hAnsiTheme="minorHAnsi" w:eastAsiaTheme="minorEastAsia" w:cstheme="minorBidi"/>
      <w:kern w:val="2"/>
      <w:sz w:val="18"/>
      <w:szCs w:val="18"/>
    </w:rPr>
  </w:style>
  <w:style w:type="character" w:customStyle="1" w:styleId="14">
    <w:name w:val="页脚 Char"/>
    <w:basedOn w:val="11"/>
    <w:link w:val="5"/>
    <w:qFormat/>
    <w:uiPriority w:val="0"/>
    <w:rPr>
      <w:rFonts w:asciiTheme="minorHAnsi" w:hAnsiTheme="minorHAnsi" w:eastAsiaTheme="minorEastAsia" w:cstheme="minorBidi"/>
      <w:kern w:val="2"/>
      <w:sz w:val="18"/>
      <w:szCs w:val="18"/>
    </w:rPr>
  </w:style>
  <w:style w:type="character" w:customStyle="1" w:styleId="15">
    <w:name w:val="标题 2 Char"/>
    <w:basedOn w:val="11"/>
    <w:link w:val="2"/>
    <w:qFormat/>
    <w:uiPriority w:val="9"/>
    <w:rPr>
      <w:rFonts w:ascii="Cambria" w:hAnsi="Cambria"/>
      <w:b/>
      <w:bCs/>
      <w:kern w:val="2"/>
      <w:sz w:val="32"/>
      <w:szCs w:val="32"/>
    </w:rPr>
  </w:style>
  <w:style w:type="character" w:customStyle="1" w:styleId="16">
    <w:name w:val="font11"/>
    <w:basedOn w:val="11"/>
    <w:qFormat/>
    <w:uiPriority w:val="0"/>
    <w:rPr>
      <w:rFonts w:hint="eastAsia" w:ascii="宋体" w:hAnsi="宋体" w:eastAsia="宋体" w:cs="宋体"/>
      <w:b/>
      <w:color w:val="000000"/>
      <w:sz w:val="21"/>
      <w:szCs w:val="21"/>
      <w:u w:val="none"/>
    </w:rPr>
  </w:style>
  <w:style w:type="character" w:customStyle="1" w:styleId="17">
    <w:name w:val="font71"/>
    <w:basedOn w:val="11"/>
    <w:qFormat/>
    <w:uiPriority w:val="0"/>
    <w:rPr>
      <w:rFonts w:hint="eastAsia" w:ascii="宋体" w:hAnsi="宋体" w:eastAsia="宋体" w:cs="宋体"/>
      <w:color w:val="FF0000"/>
      <w:sz w:val="21"/>
      <w:szCs w:val="21"/>
      <w:u w:val="none"/>
    </w:rPr>
  </w:style>
  <w:style w:type="character" w:customStyle="1" w:styleId="18">
    <w:name w:val="font51"/>
    <w:basedOn w:val="11"/>
    <w:qFormat/>
    <w:uiPriority w:val="0"/>
    <w:rPr>
      <w:rFonts w:hint="eastAsia" w:ascii="宋体" w:hAnsi="宋体" w:eastAsia="宋体" w:cs="宋体"/>
      <w:color w:val="000000"/>
      <w:sz w:val="21"/>
      <w:szCs w:val="21"/>
      <w:u w:val="none"/>
    </w:rPr>
  </w:style>
  <w:style w:type="character" w:customStyle="1" w:styleId="19">
    <w:name w:val="font41"/>
    <w:basedOn w:val="11"/>
    <w:qFormat/>
    <w:uiPriority w:val="0"/>
    <w:rPr>
      <w:rFonts w:ascii="Tahoma" w:hAnsi="Tahoma" w:eastAsia="Tahoma" w:cs="Tahoma"/>
      <w:color w:val="000000"/>
      <w:sz w:val="22"/>
      <w:szCs w:val="22"/>
      <w:u w:val="none"/>
    </w:rPr>
  </w:style>
  <w:style w:type="character" w:customStyle="1" w:styleId="20">
    <w:name w:val="font01"/>
    <w:basedOn w:val="11"/>
    <w:qFormat/>
    <w:uiPriority w:val="0"/>
    <w:rPr>
      <w:rFonts w:hint="eastAsia" w:ascii="宋体" w:hAnsi="宋体" w:eastAsia="宋体" w:cs="宋体"/>
      <w:color w:val="000000"/>
      <w:sz w:val="21"/>
      <w:szCs w:val="21"/>
      <w:u w:val="none"/>
    </w:rPr>
  </w:style>
  <w:style w:type="character" w:customStyle="1" w:styleId="21">
    <w:name w:val="font21"/>
    <w:basedOn w:val="11"/>
    <w:qFormat/>
    <w:uiPriority w:val="0"/>
    <w:rPr>
      <w:rFonts w:ascii="Tahoma" w:hAnsi="Tahoma" w:eastAsia="Tahoma" w:cs="Tahoma"/>
      <w:color w:val="000000"/>
      <w:sz w:val="22"/>
      <w:szCs w:val="22"/>
      <w:u w:val="none"/>
    </w:rPr>
  </w:style>
  <w:style w:type="paragraph" w:styleId="22">
    <w:name w:val="List Paragraph"/>
    <w:basedOn w:val="1"/>
    <w:qFormat/>
    <w:uiPriority w:val="34"/>
    <w:pPr>
      <w:ind w:firstLine="420" w:firstLineChars="200"/>
    </w:pPr>
    <w:rPr>
      <w:szCs w:val="22"/>
    </w:rPr>
  </w:style>
  <w:style w:type="character" w:customStyle="1" w:styleId="23">
    <w:name w:val="正文文本 Char"/>
    <w:basedOn w:val="11"/>
    <w:link w:val="3"/>
    <w:qFormat/>
    <w:uiPriority w:val="99"/>
    <w:rPr>
      <w:kern w:val="2"/>
      <w:sz w:val="21"/>
      <w:szCs w:val="24"/>
    </w:rPr>
  </w:style>
  <w:style w:type="character" w:customStyle="1" w:styleId="24">
    <w:name w:val="正文文本缩进 Char"/>
    <w:basedOn w:val="11"/>
    <w:link w:val="4"/>
    <w:qFormat/>
    <w:uiPriority w:val="0"/>
    <w:rPr>
      <w:rFonts w:asciiTheme="minorHAnsi" w:hAnsiTheme="minorHAnsi" w:eastAsiaTheme="minorEastAsia" w:cstheme="minorBidi"/>
      <w:kern w:val="2"/>
      <w:sz w:val="21"/>
      <w:szCs w:val="24"/>
    </w:rPr>
  </w:style>
  <w:style w:type="character" w:customStyle="1" w:styleId="25">
    <w:name w:val="正文首行缩进 2 Char"/>
    <w:basedOn w:val="24"/>
    <w:link w:val="8"/>
    <w:qFormat/>
    <w:uiPriority w:val="0"/>
    <w:rPr>
      <w:rFonts w:asciiTheme="minorHAnsi" w:hAnsiTheme="minorHAnsi" w:eastAsiaTheme="minorEastAsia" w:cstheme="minorBidi"/>
      <w:kern w:val="2"/>
      <w:sz w:val="21"/>
      <w:szCs w:val="24"/>
    </w:rPr>
  </w:style>
  <w:style w:type="paragraph" w:customStyle="1" w:styleId="26">
    <w:name w:val="首行缩进"/>
    <w:basedOn w:val="1"/>
    <w:qFormat/>
    <w:uiPriority w:val="0"/>
    <w:pPr>
      <w:ind w:firstLine="480" w:firstLineChars="200"/>
    </w:pPr>
    <w:rPr>
      <w:rFonts w:ascii="Calibri" w:hAnsi="Calibri" w:eastAsia="宋体" w:cs="Arial"/>
      <w:szCs w:val="22"/>
    </w:rPr>
  </w:style>
  <w:style w:type="character" w:customStyle="1" w:styleId="27">
    <w:name w:val="NormalCharacter"/>
    <w:qFormat/>
    <w:uiPriority w:val="0"/>
    <w:rPr>
      <w:kern w:val="2"/>
      <w:sz w:val="21"/>
      <w:szCs w:val="24"/>
      <w:lang w:val="en-US" w:eastAsia="zh-CN" w:bidi="ar-SA"/>
    </w:rPr>
  </w:style>
  <w:style w:type="character" w:customStyle="1" w:styleId="28">
    <w:name w:val="font31"/>
    <w:basedOn w:val="11"/>
    <w:uiPriority w:val="0"/>
    <w:rPr>
      <w:rFonts w:hint="eastAsia" w:ascii="宋体" w:hAnsi="宋体" w:eastAsia="宋体" w:cs="宋体"/>
      <w:color w:val="000000"/>
      <w:sz w:val="20"/>
      <w:szCs w:val="20"/>
      <w:u w:val="none"/>
    </w:rPr>
  </w:style>
  <w:style w:type="paragraph" w:customStyle="1" w:styleId="2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35</Pages>
  <Words>18543</Words>
  <Characters>20022</Characters>
  <Lines>164</Lines>
  <Paragraphs>46</Paragraphs>
  <TotalTime>46</TotalTime>
  <ScaleCrop>false</ScaleCrop>
  <LinksUpToDate>false</LinksUpToDate>
  <CharactersWithSpaces>20662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2025-10-13T01:10:00Z</dcterms:created>
  <dc:creator>Administrator</dc:creator>
  <cp:lastModifiedBy>Junny@俊利</cp:lastModifiedBy>
  <dcterms:modified xsi:type="dcterms:W3CDTF">2025-10-31T09:13:09Z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40135F3605A4412D8CEE7617BB768D3D_12</vt:lpwstr>
  </property>
  <property fmtid="{D5CDD505-2E9C-101B-9397-08002B2CF9AE}" pid="4" name="KSOTemplateDocerSaveRecord">
    <vt:lpwstr>eyJoZGlkIjoiNzVmMDZkNWE4NzA0OGFkMDM1MDA1NWI0OTJiYjBiYmQiLCJ1c2VySWQiOiI0MTcwODgxODkifQ==</vt:lpwstr>
  </property>
</Properties>
</file>