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1A9DF">
      <w:pPr>
        <w:spacing w:before="156" w:beforeLines="5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附件1：</w:t>
      </w:r>
    </w:p>
    <w:tbl>
      <w:tblPr>
        <w:tblStyle w:val="6"/>
        <w:tblW w:w="9604"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2211"/>
        <w:gridCol w:w="5703"/>
        <w:gridCol w:w="1035"/>
      </w:tblGrid>
      <w:tr w14:paraId="4B708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tcPr>
          <w:p w14:paraId="50564800">
            <w:pPr>
              <w:spacing w:before="156" w:beforeLines="50"/>
              <w:jc w:val="center"/>
              <w:rPr>
                <w:rFonts w:hint="default"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序号</w:t>
            </w:r>
          </w:p>
        </w:tc>
        <w:tc>
          <w:tcPr>
            <w:tcW w:w="2211" w:type="dxa"/>
          </w:tcPr>
          <w:p w14:paraId="41A6DBFE">
            <w:pPr>
              <w:spacing w:before="156" w:beforeLines="50" w:line="240" w:lineRule="auto"/>
              <w:jc w:val="center"/>
              <w:rPr>
                <w:rFonts w:hint="eastAsia" w:ascii="宋体" w:hAnsi="宋体" w:eastAsia="宋体" w:cs="宋体"/>
                <w:i w:val="0"/>
                <w:iCs w:val="0"/>
                <w:caps w:val="0"/>
                <w:color w:val="333333"/>
                <w:spacing w:val="0"/>
                <w:sz w:val="21"/>
                <w:szCs w:val="21"/>
                <w:shd w:val="clear" w:color="auto" w:fill="FFFFFF"/>
                <w:lang w:val="en-US" w:eastAsia="zh-CN"/>
              </w:rPr>
            </w:pPr>
            <w:r>
              <w:rPr>
                <w:rFonts w:hint="eastAsia" w:ascii="宋体" w:hAnsi="宋体" w:eastAsia="宋体" w:cs="宋体"/>
                <w:i w:val="0"/>
                <w:iCs w:val="0"/>
                <w:caps w:val="0"/>
                <w:color w:val="333333"/>
                <w:spacing w:val="0"/>
                <w:sz w:val="21"/>
                <w:szCs w:val="21"/>
                <w:shd w:val="clear" w:color="auto" w:fill="FFFFFF"/>
                <w:lang w:val="en-US" w:eastAsia="zh-CN"/>
              </w:rPr>
              <w:t>医疗设备名称</w:t>
            </w:r>
          </w:p>
        </w:tc>
        <w:tc>
          <w:tcPr>
            <w:tcW w:w="5703" w:type="dxa"/>
          </w:tcPr>
          <w:p w14:paraId="0514F828">
            <w:pPr>
              <w:spacing w:before="156" w:beforeLines="50" w:line="240" w:lineRule="auto"/>
              <w:jc w:val="center"/>
              <w:rPr>
                <w:rFonts w:hint="eastAsia" w:ascii="宋体" w:hAnsi="宋体" w:eastAsia="宋体" w:cs="宋体"/>
                <w:i w:val="0"/>
                <w:iCs w:val="0"/>
                <w:caps w:val="0"/>
                <w:color w:val="333333"/>
                <w:spacing w:val="0"/>
                <w:sz w:val="21"/>
                <w:szCs w:val="21"/>
                <w:shd w:val="clear" w:color="auto" w:fill="FFFFFF"/>
                <w:lang w:val="en-US" w:eastAsia="zh-CN"/>
              </w:rPr>
            </w:pPr>
            <w:r>
              <w:rPr>
                <w:rFonts w:hint="eastAsia" w:ascii="宋体" w:hAnsi="宋体" w:eastAsia="宋体" w:cs="宋体"/>
                <w:i w:val="0"/>
                <w:iCs w:val="0"/>
                <w:caps w:val="0"/>
                <w:color w:val="333333"/>
                <w:spacing w:val="0"/>
                <w:sz w:val="21"/>
                <w:szCs w:val="21"/>
                <w:shd w:val="clear" w:color="auto" w:fill="FFFFFF"/>
                <w:lang w:val="en-US" w:eastAsia="zh-CN"/>
              </w:rPr>
              <w:t>需求意向</w:t>
            </w:r>
          </w:p>
        </w:tc>
        <w:tc>
          <w:tcPr>
            <w:tcW w:w="1035" w:type="dxa"/>
          </w:tcPr>
          <w:p w14:paraId="7EA6F54C">
            <w:pPr>
              <w:spacing w:before="156" w:beforeLines="50"/>
              <w:jc w:val="center"/>
              <w:rPr>
                <w:rFonts w:hint="default"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备注</w:t>
            </w:r>
          </w:p>
        </w:tc>
      </w:tr>
      <w:tr w14:paraId="34EFB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tcPr>
          <w:p w14:paraId="0BE7B4AC">
            <w:pPr>
              <w:numPr>
                <w:ilvl w:val="0"/>
                <w:numId w:val="0"/>
              </w:numPr>
              <w:spacing w:before="156" w:beforeLines="50"/>
              <w:ind w:leftChars="0"/>
              <w:jc w:val="center"/>
              <w:rPr>
                <w:rFonts w:hint="default"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1</w:t>
            </w:r>
          </w:p>
        </w:tc>
        <w:tc>
          <w:tcPr>
            <w:tcW w:w="2211" w:type="dxa"/>
          </w:tcPr>
          <w:p w14:paraId="6434E9A4">
            <w:pPr>
              <w:numPr>
                <w:ilvl w:val="0"/>
                <w:numId w:val="0"/>
              </w:numPr>
              <w:spacing w:before="156" w:beforeLines="50" w:line="240" w:lineRule="auto"/>
              <w:ind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基因测序仪</w:t>
            </w:r>
          </w:p>
        </w:tc>
        <w:tc>
          <w:tcPr>
            <w:tcW w:w="5703" w:type="dxa"/>
          </w:tcPr>
          <w:p w14:paraId="5E15290E">
            <w:pPr>
              <w:numPr>
                <w:ilvl w:val="0"/>
                <w:numId w:val="0"/>
              </w:numPr>
              <w:spacing w:before="156" w:beforeLines="50" w:line="240" w:lineRule="auto"/>
              <w:ind w:leftChars="0"/>
              <w:jc w:val="center"/>
              <w:rPr>
                <w:rFonts w:hint="eastAsia" w:ascii="宋体" w:hAnsi="宋体" w:eastAsia="宋体" w:cs="宋体"/>
                <w:color w:val="auto"/>
                <w:kern w:val="2"/>
                <w:sz w:val="21"/>
                <w:szCs w:val="21"/>
                <w:highlight w:val="none"/>
                <w:lang w:val="en-US" w:eastAsia="zh-CN" w:bidi="ar-SA"/>
              </w:rPr>
            </w:pPr>
          </w:p>
          <w:p w14:paraId="65519793">
            <w:pPr>
              <w:pStyle w:val="8"/>
              <w:numPr>
                <w:ilvl w:val="0"/>
                <w:numId w:val="1"/>
              </w:numPr>
              <w:spacing w:after="156" w:afterLines="50" w:line="240" w:lineRule="auto"/>
              <w:ind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测序技术：基于半导体测序原理的高通量基因测序仪。</w:t>
            </w:r>
          </w:p>
          <w:p w14:paraId="00B6ADF7">
            <w:pPr>
              <w:pStyle w:val="8"/>
              <w:numPr>
                <w:ilvl w:val="0"/>
                <w:numId w:val="1"/>
              </w:numPr>
              <w:spacing w:after="156" w:afterLines="50" w:line="240" w:lineRule="auto"/>
              <w:ind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功能要求：适用于病原微生物高通量基因测序、肿瘤筛查与个体化用药等检测。</w:t>
            </w:r>
          </w:p>
          <w:p w14:paraId="4669C01E">
            <w:pPr>
              <w:pStyle w:val="8"/>
              <w:numPr>
                <w:ilvl w:val="0"/>
                <w:numId w:val="1"/>
              </w:numPr>
              <w:spacing w:after="156" w:afterLines="50" w:line="240" w:lineRule="auto"/>
              <w:ind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仪器和试剂资质：检测仪器和配套检测病原微生物检测试剂具有国家药品监督管理局颁发的医疗器械注册证或备案证,可用于临床应用。</w:t>
            </w:r>
          </w:p>
          <w:p w14:paraId="44A91813">
            <w:pPr>
              <w:pStyle w:val="8"/>
              <w:numPr>
                <w:ilvl w:val="0"/>
                <w:numId w:val="1"/>
              </w:numPr>
              <w:spacing w:after="156" w:afterLines="50" w:line="240" w:lineRule="auto"/>
              <w:ind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生物安全性：平台配套试剂无毒环保，无需荧光染料或化学发光配套试剂。</w:t>
            </w:r>
          </w:p>
          <w:p w14:paraId="27E98223">
            <w:pPr>
              <w:pStyle w:val="8"/>
              <w:numPr>
                <w:ilvl w:val="0"/>
                <w:numId w:val="1"/>
              </w:numPr>
              <w:spacing w:after="156" w:afterLines="50" w:line="240" w:lineRule="auto"/>
              <w:ind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测序芯片：至少有1种通量的半导体测序芯片选择，单次单端读取模式时，芯片通量≥10GB。测序仪芯片运行时，需保障顺利进行病原微生物基因检测。</w:t>
            </w:r>
          </w:p>
          <w:p w14:paraId="4D563EAB">
            <w:pPr>
              <w:pStyle w:val="8"/>
              <w:numPr>
                <w:ilvl w:val="0"/>
                <w:numId w:val="1"/>
              </w:numPr>
              <w:spacing w:after="156" w:afterLines="50" w:line="240" w:lineRule="auto"/>
              <w:ind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测序时长：单次测序运行测序时间≤4小时。测序时间短者更优。</w:t>
            </w:r>
          </w:p>
          <w:p w14:paraId="75140F02">
            <w:pPr>
              <w:pStyle w:val="8"/>
              <w:numPr>
                <w:ilvl w:val="0"/>
                <w:numId w:val="1"/>
              </w:numPr>
              <w:spacing w:after="156" w:afterLines="50" w:line="240" w:lineRule="auto"/>
              <w:ind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测序读长：单端测序读长≥200bp。</w:t>
            </w:r>
          </w:p>
          <w:p w14:paraId="457AB82B">
            <w:pPr>
              <w:pStyle w:val="8"/>
              <w:numPr>
                <w:ilvl w:val="0"/>
                <w:numId w:val="1"/>
              </w:numPr>
              <w:spacing w:after="156" w:afterLines="50" w:line="240" w:lineRule="auto"/>
              <w:ind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测序准确性: ≥99%。</w:t>
            </w:r>
          </w:p>
          <w:p w14:paraId="3A0D2097">
            <w:pPr>
              <w:pStyle w:val="8"/>
              <w:numPr>
                <w:ilvl w:val="0"/>
                <w:numId w:val="1"/>
              </w:numPr>
              <w:spacing w:after="156" w:afterLines="50" w:line="240" w:lineRule="auto"/>
              <w:ind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测序样本量：病原微生物宏基因组检测项目单次运行最高可检测7个样品，且可单日多次上机。</w:t>
            </w:r>
          </w:p>
          <w:p w14:paraId="240ED73F">
            <w:pPr>
              <w:pStyle w:val="8"/>
              <w:numPr>
                <w:ilvl w:val="0"/>
                <w:numId w:val="1"/>
              </w:numPr>
              <w:spacing w:after="156" w:afterLines="50" w:line="240" w:lineRule="auto"/>
              <w:ind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系统管理软件：配备专业化的数据分析管理系统，自动本地化完成信息分析及报告输出。同时配备专业的信息管理软件，适用于患者信息录入，自动化管理、样品管理、实验管理、数据管理、报告管理。</w:t>
            </w:r>
          </w:p>
          <w:p w14:paraId="25B3E54D">
            <w:pPr>
              <w:pStyle w:val="8"/>
              <w:numPr>
                <w:ilvl w:val="0"/>
                <w:numId w:val="1"/>
              </w:numPr>
              <w:spacing w:after="156" w:afterLines="50" w:line="240" w:lineRule="auto"/>
              <w:ind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多项目拼板上机：支持用在各种应用中的多种文库的模板制备和多样本多项目平行测序，并且能够区分不同样本的序列信息。</w:t>
            </w:r>
          </w:p>
          <w:p w14:paraId="1967433E">
            <w:pPr>
              <w:pStyle w:val="8"/>
              <w:numPr>
                <w:ilvl w:val="0"/>
                <w:numId w:val="1"/>
              </w:numPr>
              <w:spacing w:after="156" w:afterLines="50" w:line="240" w:lineRule="auto"/>
              <w:ind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软件平台开放性：允许用户使用自己开发的临床检测应用软件。</w:t>
            </w:r>
          </w:p>
          <w:p w14:paraId="498D40A5">
            <w:pPr>
              <w:pStyle w:val="8"/>
              <w:numPr>
                <w:ilvl w:val="0"/>
                <w:numId w:val="1"/>
              </w:numPr>
              <w:spacing w:after="156" w:afterLines="50" w:line="240" w:lineRule="auto"/>
              <w:ind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全自动数据分析，下机数据到出分析结果≤6小时。</w:t>
            </w:r>
          </w:p>
          <w:p w14:paraId="0D44629E">
            <w:pPr>
              <w:pStyle w:val="8"/>
              <w:numPr>
                <w:ilvl w:val="0"/>
                <w:numId w:val="1"/>
              </w:numPr>
              <w:spacing w:after="156" w:afterLines="50" w:line="240" w:lineRule="auto"/>
              <w:ind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可显示测序读长、重复序列数、Reads覆盖随机性等质控参数，质控项都明确有参考范围。</w:t>
            </w:r>
          </w:p>
          <w:p w14:paraId="7AC87A08">
            <w:pPr>
              <w:pStyle w:val="8"/>
              <w:numPr>
                <w:ilvl w:val="0"/>
                <w:numId w:val="1"/>
              </w:numPr>
              <w:spacing w:after="156" w:afterLines="50" w:line="240" w:lineRule="auto"/>
              <w:ind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安全性:数据信息安全性高，操作权限可设定。</w:t>
            </w:r>
          </w:p>
          <w:p w14:paraId="2766952A">
            <w:pPr>
              <w:pStyle w:val="8"/>
              <w:numPr>
                <w:ilvl w:val="0"/>
                <w:numId w:val="1"/>
              </w:numPr>
              <w:spacing w:after="156" w:afterLines="50" w:line="240" w:lineRule="auto"/>
              <w:ind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维护 可定期备份，清除，迁移，支持删除数据找回功能。</w:t>
            </w:r>
          </w:p>
          <w:p w14:paraId="2F3877D8">
            <w:pPr>
              <w:pStyle w:val="8"/>
              <w:numPr>
                <w:ilvl w:val="0"/>
                <w:numId w:val="1"/>
              </w:numPr>
              <w:spacing w:after="156" w:afterLines="50" w:line="240" w:lineRule="auto"/>
              <w:ind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其它:监控及报警提示功能。</w:t>
            </w:r>
          </w:p>
          <w:p w14:paraId="235AE6A5">
            <w:pPr>
              <w:pStyle w:val="8"/>
              <w:numPr>
                <w:ilvl w:val="0"/>
                <w:numId w:val="1"/>
              </w:numPr>
              <w:spacing w:after="156" w:afterLines="50" w:line="240" w:lineRule="auto"/>
              <w:ind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质保期：原厂整机质保≥5年。</w:t>
            </w:r>
          </w:p>
          <w:p w14:paraId="6007F9EC">
            <w:pPr>
              <w:pStyle w:val="8"/>
              <w:numPr>
                <w:ilvl w:val="0"/>
                <w:numId w:val="1"/>
              </w:numPr>
              <w:spacing w:after="156" w:afterLines="50" w:line="240" w:lineRule="auto"/>
              <w:ind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需求数量：1台。</w:t>
            </w:r>
          </w:p>
          <w:p w14:paraId="634C543C">
            <w:pPr>
              <w:spacing w:before="156" w:beforeLines="50" w:line="240" w:lineRule="auto"/>
              <w:jc w:val="center"/>
              <w:rPr>
                <w:rFonts w:hint="eastAsia" w:ascii="宋体" w:hAnsi="宋体" w:eastAsia="宋体" w:cs="宋体"/>
                <w:color w:val="auto"/>
                <w:kern w:val="2"/>
                <w:sz w:val="21"/>
                <w:szCs w:val="21"/>
                <w:highlight w:val="none"/>
                <w:lang w:val="en-US" w:eastAsia="zh-CN" w:bidi="ar-SA"/>
              </w:rPr>
            </w:pPr>
          </w:p>
        </w:tc>
        <w:tc>
          <w:tcPr>
            <w:tcW w:w="1035" w:type="dxa"/>
          </w:tcPr>
          <w:p w14:paraId="356E78C6">
            <w:pPr>
              <w:numPr>
                <w:ilvl w:val="0"/>
                <w:numId w:val="0"/>
              </w:numPr>
              <w:spacing w:before="156" w:beforeLines="50"/>
              <w:ind w:leftChars="0"/>
              <w:jc w:val="center"/>
              <w:rPr>
                <w:rFonts w:hint="default" w:ascii="宋体" w:hAnsi="宋体" w:eastAsia="宋体" w:cs="宋体"/>
                <w:color w:val="auto"/>
                <w:kern w:val="2"/>
                <w:sz w:val="21"/>
                <w:szCs w:val="21"/>
                <w:highlight w:val="none"/>
                <w:lang w:val="en-US" w:eastAsia="zh-CN" w:bidi="ar-SA"/>
              </w:rPr>
            </w:pPr>
          </w:p>
        </w:tc>
      </w:tr>
      <w:tr w14:paraId="1D178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9604" w:type="dxa"/>
            <w:gridSpan w:val="4"/>
          </w:tcPr>
          <w:p w14:paraId="34E5294A">
            <w:pPr>
              <w:spacing w:before="156" w:beforeLines="50"/>
              <w:jc w:val="left"/>
              <w:rPr>
                <w:rFonts w:hint="default"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b/>
                <w:bCs/>
                <w:i w:val="0"/>
                <w:iCs w:val="0"/>
                <w:caps w:val="0"/>
                <w:color w:val="333333"/>
                <w:spacing w:val="0"/>
                <w:sz w:val="21"/>
                <w:szCs w:val="21"/>
                <w:shd w:val="clear" w:color="auto" w:fill="FFFFFF"/>
                <w:lang w:val="en-US" w:eastAsia="zh-CN"/>
              </w:rPr>
              <w:t>注：以上需求意向仅供市场调研论证参考，不作为实际需求参数，请各参与公司根据以上意向需求，推介至少满足或优于意向需求的且性价比高的产品。</w:t>
            </w:r>
          </w:p>
        </w:tc>
      </w:tr>
    </w:tbl>
    <w:p w14:paraId="5D623131">
      <w:pPr>
        <w:spacing w:before="156" w:beforeLines="50"/>
        <w:jc w:val="left"/>
        <w:rPr>
          <w:rFonts w:hint="eastAsia" w:ascii="宋体" w:hAnsi="宋体" w:eastAsia="宋体" w:cs="宋体"/>
          <w:i w:val="0"/>
          <w:iCs w:val="0"/>
          <w:caps w:val="0"/>
          <w:color w:val="333333"/>
          <w:spacing w:val="0"/>
          <w:sz w:val="30"/>
          <w:szCs w:val="30"/>
          <w:shd w:val="clear" w:color="auto" w:fill="FFFFFF"/>
          <w:lang w:val="en-US" w:eastAsia="zh-CN"/>
        </w:rPr>
      </w:pPr>
    </w:p>
    <w:p w14:paraId="1E465DC3">
      <w:pPr>
        <w:spacing w:before="156" w:beforeLines="50"/>
        <w:jc w:val="left"/>
        <w:rPr>
          <w:rFonts w:hint="eastAsia" w:ascii="宋体" w:hAnsi="宋体" w:eastAsia="宋体" w:cs="宋体"/>
          <w:i w:val="0"/>
          <w:iCs w:val="0"/>
          <w:caps w:val="0"/>
          <w:color w:val="333333"/>
          <w:spacing w:val="0"/>
          <w:sz w:val="30"/>
          <w:szCs w:val="30"/>
          <w:shd w:val="clear" w:color="auto" w:fill="FFFFFF"/>
          <w:lang w:val="en-US" w:eastAsia="zh-CN"/>
        </w:rPr>
      </w:pPr>
    </w:p>
    <w:p w14:paraId="6FBF5193">
      <w:pPr>
        <w:spacing w:before="156" w:beforeLines="50"/>
        <w:jc w:val="left"/>
        <w:rPr>
          <w:rFonts w:hint="eastAsia" w:ascii="宋体" w:hAnsi="宋体" w:eastAsia="宋体" w:cs="宋体"/>
          <w:i w:val="0"/>
          <w:iCs w:val="0"/>
          <w:caps w:val="0"/>
          <w:color w:val="333333"/>
          <w:spacing w:val="0"/>
          <w:sz w:val="30"/>
          <w:szCs w:val="30"/>
          <w:shd w:val="clear" w:color="auto" w:fill="FFFFFF"/>
          <w:lang w:val="en-US" w:eastAsia="zh-CN"/>
        </w:rPr>
      </w:pPr>
    </w:p>
    <w:p w14:paraId="44E98233">
      <w:pPr>
        <w:spacing w:before="156" w:beforeLines="50"/>
        <w:jc w:val="left"/>
        <w:rPr>
          <w:rFonts w:hint="eastAsia" w:ascii="宋体" w:hAnsi="宋体" w:eastAsia="宋体" w:cs="宋体"/>
          <w:i w:val="0"/>
          <w:iCs w:val="0"/>
          <w:caps w:val="0"/>
          <w:color w:val="333333"/>
          <w:spacing w:val="0"/>
          <w:sz w:val="30"/>
          <w:szCs w:val="30"/>
          <w:shd w:val="clear" w:color="auto" w:fill="FFFFFF"/>
          <w:lang w:val="en-US" w:eastAsia="zh-CN"/>
        </w:rPr>
      </w:pPr>
    </w:p>
    <w:p w14:paraId="55F2DBF9">
      <w:pPr>
        <w:spacing w:before="156" w:beforeLines="50"/>
        <w:jc w:val="left"/>
        <w:rPr>
          <w:rFonts w:hint="eastAsia" w:ascii="宋体" w:hAnsi="宋体" w:eastAsia="宋体" w:cs="宋体"/>
          <w:i w:val="0"/>
          <w:iCs w:val="0"/>
          <w:caps w:val="0"/>
          <w:color w:val="333333"/>
          <w:spacing w:val="0"/>
          <w:sz w:val="30"/>
          <w:szCs w:val="30"/>
          <w:shd w:val="clear" w:color="auto" w:fill="FFFFFF"/>
          <w:lang w:val="en-US" w:eastAsia="zh-CN"/>
        </w:rPr>
      </w:pPr>
    </w:p>
    <w:p w14:paraId="43E10830">
      <w:pPr>
        <w:spacing w:before="156" w:beforeLines="50"/>
        <w:jc w:val="left"/>
        <w:rPr>
          <w:rFonts w:hint="eastAsia" w:ascii="宋体" w:hAnsi="宋体" w:eastAsia="宋体" w:cs="宋体"/>
          <w:i w:val="0"/>
          <w:iCs w:val="0"/>
          <w:caps w:val="0"/>
          <w:color w:val="333333"/>
          <w:spacing w:val="0"/>
          <w:sz w:val="30"/>
          <w:szCs w:val="30"/>
          <w:shd w:val="clear" w:color="auto" w:fill="FFFFFF"/>
          <w:lang w:val="en-US" w:eastAsia="zh-CN"/>
        </w:rPr>
      </w:pPr>
    </w:p>
    <w:p w14:paraId="4FCD43F7">
      <w:pPr>
        <w:spacing w:before="156" w:beforeLines="50"/>
        <w:jc w:val="left"/>
        <w:rPr>
          <w:rFonts w:hint="eastAsia" w:ascii="宋体" w:hAnsi="宋体" w:eastAsia="宋体" w:cs="宋体"/>
          <w:i w:val="0"/>
          <w:iCs w:val="0"/>
          <w:caps w:val="0"/>
          <w:color w:val="333333"/>
          <w:spacing w:val="0"/>
          <w:sz w:val="30"/>
          <w:szCs w:val="30"/>
          <w:shd w:val="clear" w:color="auto" w:fill="FFFFFF"/>
          <w:lang w:val="en-US" w:eastAsia="zh-CN"/>
        </w:rPr>
      </w:pPr>
    </w:p>
    <w:p w14:paraId="661B2010">
      <w:pPr>
        <w:spacing w:before="156" w:beforeLines="50"/>
        <w:jc w:val="left"/>
        <w:rPr>
          <w:rFonts w:hint="eastAsia" w:ascii="宋体" w:hAnsi="宋体" w:eastAsia="宋体" w:cs="宋体"/>
          <w:i w:val="0"/>
          <w:iCs w:val="0"/>
          <w:caps w:val="0"/>
          <w:color w:val="333333"/>
          <w:spacing w:val="0"/>
          <w:sz w:val="30"/>
          <w:szCs w:val="30"/>
          <w:shd w:val="clear" w:color="auto" w:fill="FFFFFF"/>
          <w:lang w:val="en-US" w:eastAsia="zh-CN"/>
        </w:rPr>
      </w:pPr>
    </w:p>
    <w:p w14:paraId="023D2DEC">
      <w:pPr>
        <w:spacing w:before="156" w:beforeLines="50"/>
        <w:jc w:val="left"/>
        <w:rPr>
          <w:rFonts w:hint="eastAsia" w:ascii="宋体" w:hAnsi="宋体" w:eastAsia="宋体" w:cs="宋体"/>
          <w:i w:val="0"/>
          <w:iCs w:val="0"/>
          <w:caps w:val="0"/>
          <w:color w:val="333333"/>
          <w:spacing w:val="0"/>
          <w:sz w:val="30"/>
          <w:szCs w:val="30"/>
          <w:shd w:val="clear" w:color="auto" w:fill="FFFFFF"/>
          <w:lang w:val="en-US" w:eastAsia="zh-CN"/>
        </w:rPr>
      </w:pPr>
    </w:p>
    <w:p w14:paraId="32952C0D">
      <w:pPr>
        <w:spacing w:before="156" w:beforeLines="50"/>
        <w:jc w:val="left"/>
        <w:rPr>
          <w:rFonts w:hint="eastAsia" w:ascii="宋体" w:hAnsi="宋体" w:eastAsia="宋体" w:cs="宋体"/>
          <w:i w:val="0"/>
          <w:iCs w:val="0"/>
          <w:caps w:val="0"/>
          <w:color w:val="333333"/>
          <w:spacing w:val="0"/>
          <w:sz w:val="30"/>
          <w:szCs w:val="30"/>
          <w:shd w:val="clear" w:color="auto" w:fill="FFFFFF"/>
          <w:lang w:val="en-US" w:eastAsia="zh-CN"/>
        </w:rPr>
      </w:pPr>
    </w:p>
    <w:p w14:paraId="0E22E4D1">
      <w:pPr>
        <w:spacing w:before="156" w:beforeLines="50"/>
        <w:jc w:val="left"/>
        <w:rPr>
          <w:rFonts w:hint="eastAsia" w:ascii="宋体" w:hAnsi="宋体" w:eastAsia="宋体" w:cs="宋体"/>
          <w:i w:val="0"/>
          <w:iCs w:val="0"/>
          <w:caps w:val="0"/>
          <w:color w:val="333333"/>
          <w:spacing w:val="0"/>
          <w:sz w:val="30"/>
          <w:szCs w:val="30"/>
          <w:shd w:val="clear" w:color="auto" w:fill="FFFFFF"/>
          <w:lang w:val="en-US" w:eastAsia="zh-CN"/>
        </w:rPr>
      </w:pPr>
    </w:p>
    <w:p w14:paraId="4246C0B3">
      <w:pPr>
        <w:spacing w:before="156" w:beforeLines="50"/>
        <w:jc w:val="left"/>
        <w:rPr>
          <w:rFonts w:hint="eastAsia" w:ascii="宋体" w:hAnsi="宋体" w:eastAsia="宋体" w:cs="宋体"/>
          <w:i w:val="0"/>
          <w:iCs w:val="0"/>
          <w:caps w:val="0"/>
          <w:color w:val="333333"/>
          <w:spacing w:val="0"/>
          <w:sz w:val="30"/>
          <w:szCs w:val="30"/>
          <w:shd w:val="clear" w:color="auto" w:fill="FFFFFF"/>
          <w:lang w:val="en-US" w:eastAsia="zh-CN"/>
        </w:rPr>
      </w:pPr>
    </w:p>
    <w:p w14:paraId="44AA91B7">
      <w:pPr>
        <w:spacing w:before="156" w:beforeLines="50"/>
        <w:jc w:val="left"/>
        <w:rPr>
          <w:rFonts w:hint="eastAsia" w:ascii="宋体" w:hAnsi="宋体" w:eastAsia="宋体" w:cs="宋体"/>
          <w:i w:val="0"/>
          <w:iCs w:val="0"/>
          <w:caps w:val="0"/>
          <w:color w:val="333333"/>
          <w:spacing w:val="0"/>
          <w:sz w:val="30"/>
          <w:szCs w:val="30"/>
          <w:shd w:val="clear" w:color="auto" w:fill="FFFFFF"/>
          <w:lang w:val="en-US" w:eastAsia="zh-CN"/>
        </w:rPr>
      </w:pPr>
    </w:p>
    <w:p w14:paraId="221839A6">
      <w:pPr>
        <w:spacing w:before="156" w:beforeLines="50"/>
        <w:jc w:val="left"/>
        <w:rPr>
          <w:rFonts w:hint="eastAsia" w:ascii="宋体" w:hAnsi="宋体" w:eastAsia="宋体" w:cs="宋体"/>
          <w:i w:val="0"/>
          <w:iCs w:val="0"/>
          <w:caps w:val="0"/>
          <w:color w:val="333333"/>
          <w:spacing w:val="0"/>
          <w:sz w:val="30"/>
          <w:szCs w:val="30"/>
          <w:shd w:val="clear" w:color="auto" w:fill="FFFFFF"/>
          <w:lang w:val="en-US" w:eastAsia="zh-CN"/>
        </w:rPr>
      </w:pPr>
      <w:r>
        <w:rPr>
          <w:rFonts w:hint="eastAsia" w:ascii="宋体" w:hAnsi="宋体" w:eastAsia="宋体" w:cs="宋体"/>
          <w:i w:val="0"/>
          <w:iCs w:val="0"/>
          <w:caps w:val="0"/>
          <w:color w:val="333333"/>
          <w:spacing w:val="0"/>
          <w:sz w:val="30"/>
          <w:szCs w:val="30"/>
          <w:shd w:val="clear" w:color="auto" w:fill="FFFFFF"/>
          <w:lang w:val="en-US" w:eastAsia="zh-CN"/>
        </w:rPr>
        <w:t>附件2：</w:t>
      </w:r>
    </w:p>
    <w:tbl>
      <w:tblPr>
        <w:tblStyle w:val="6"/>
        <w:tblW w:w="9604"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2888"/>
        <w:gridCol w:w="4954"/>
        <w:gridCol w:w="1166"/>
      </w:tblGrid>
      <w:tr w14:paraId="19AC7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tcPr>
          <w:p w14:paraId="251CCD98">
            <w:pPr>
              <w:spacing w:before="156" w:beforeLines="50"/>
              <w:jc w:val="center"/>
              <w:rPr>
                <w:rFonts w:hint="default"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序号</w:t>
            </w:r>
          </w:p>
        </w:tc>
        <w:tc>
          <w:tcPr>
            <w:tcW w:w="2888" w:type="dxa"/>
          </w:tcPr>
          <w:p w14:paraId="035F7B0D">
            <w:pPr>
              <w:spacing w:before="156" w:beforeLines="50"/>
              <w:jc w:val="center"/>
              <w:rPr>
                <w:rFonts w:hint="default"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医用耗材名称</w:t>
            </w:r>
          </w:p>
        </w:tc>
        <w:tc>
          <w:tcPr>
            <w:tcW w:w="4954" w:type="dxa"/>
          </w:tcPr>
          <w:p w14:paraId="4A3015F5">
            <w:pPr>
              <w:spacing w:before="156" w:beforeLines="50"/>
              <w:jc w:val="center"/>
              <w:rPr>
                <w:rFonts w:hint="default"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需求意向</w:t>
            </w:r>
          </w:p>
        </w:tc>
        <w:tc>
          <w:tcPr>
            <w:tcW w:w="1166" w:type="dxa"/>
          </w:tcPr>
          <w:p w14:paraId="118F8696">
            <w:pPr>
              <w:spacing w:before="156" w:beforeLines="50"/>
              <w:jc w:val="center"/>
              <w:rPr>
                <w:rFonts w:hint="default"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备注</w:t>
            </w:r>
          </w:p>
        </w:tc>
      </w:tr>
      <w:tr w14:paraId="6DC4B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tcPr>
          <w:p w14:paraId="4ED114F8">
            <w:pPr>
              <w:numPr>
                <w:ilvl w:val="0"/>
                <w:numId w:val="0"/>
              </w:numPr>
              <w:spacing w:before="156" w:beforeLines="50"/>
              <w:ind w:leftChars="0"/>
              <w:jc w:val="center"/>
              <w:rPr>
                <w:rFonts w:hint="default"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1</w:t>
            </w:r>
          </w:p>
        </w:tc>
        <w:tc>
          <w:tcPr>
            <w:tcW w:w="2888" w:type="dxa"/>
          </w:tcPr>
          <w:p w14:paraId="02D0A210">
            <w:pPr>
              <w:numPr>
                <w:ilvl w:val="0"/>
                <w:numId w:val="0"/>
              </w:numPr>
              <w:spacing w:before="156" w:beforeLines="50" w:line="240" w:lineRule="auto"/>
              <w:ind w:leftChars="0"/>
              <w:jc w:val="center"/>
              <w:rPr>
                <w:rFonts w:hint="eastAsia" w:ascii="宋体" w:hAnsi="宋体" w:eastAsia="宋体" w:cs="宋体"/>
                <w:b w:val="0"/>
                <w:bCs w:val="0"/>
                <w:i w:val="0"/>
                <w:iCs w:val="0"/>
                <w:caps w:val="0"/>
                <w:color w:val="333333"/>
                <w:spacing w:val="0"/>
                <w:sz w:val="21"/>
                <w:szCs w:val="21"/>
                <w:shd w:val="clear" w:color="auto" w:fill="FFFFFF"/>
              </w:rPr>
            </w:pPr>
            <w:r>
              <w:rPr>
                <w:rFonts w:hint="eastAsia" w:ascii="宋体" w:hAnsi="宋体" w:eastAsia="宋体" w:cs="宋体"/>
                <w:b w:val="0"/>
                <w:bCs w:val="0"/>
                <w:i w:val="0"/>
                <w:iCs w:val="0"/>
                <w:caps w:val="0"/>
                <w:color w:val="333333"/>
                <w:spacing w:val="0"/>
                <w:sz w:val="21"/>
                <w:szCs w:val="21"/>
                <w:shd w:val="clear" w:color="auto" w:fill="FFFFFF"/>
              </w:rPr>
              <w:t>核酸提取或纯化试剂</w:t>
            </w:r>
          </w:p>
          <w:p w14:paraId="6295738E">
            <w:pPr>
              <w:numPr>
                <w:ilvl w:val="0"/>
                <w:numId w:val="0"/>
              </w:numPr>
              <w:spacing w:before="156" w:beforeLines="50" w:line="240" w:lineRule="auto"/>
              <w:ind w:leftChars="0"/>
              <w:jc w:val="center"/>
              <w:rPr>
                <w:rFonts w:hint="eastAsia" w:ascii="宋体" w:hAnsi="宋体" w:eastAsia="宋体" w:cs="宋体"/>
                <w:b w:val="0"/>
                <w:bCs w:val="0"/>
                <w:color w:val="auto"/>
                <w:kern w:val="2"/>
                <w:sz w:val="21"/>
                <w:szCs w:val="21"/>
                <w:highlight w:val="none"/>
                <w:lang w:val="en-US" w:eastAsia="zh-CN" w:bidi="ar-SA"/>
              </w:rPr>
            </w:pPr>
          </w:p>
        </w:tc>
        <w:tc>
          <w:tcPr>
            <w:tcW w:w="4954" w:type="dxa"/>
          </w:tcPr>
          <w:p w14:paraId="0D2A5A12">
            <w:pPr>
              <w:pStyle w:val="8"/>
              <w:numPr>
                <w:ilvl w:val="0"/>
                <w:numId w:val="2"/>
              </w:numPr>
              <w:spacing w:after="156" w:afterLines="50" w:line="240" w:lineRule="auto"/>
              <w:ind w:firstLineChars="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样本类型：用于人血液、咽拭子、痰液、肺泡灌洗液、脑脊液、胸水、关节液等各类样本提取核酸中未知病原的定性检测。</w:t>
            </w:r>
          </w:p>
          <w:p w14:paraId="70F894DF">
            <w:pPr>
              <w:pStyle w:val="8"/>
              <w:numPr>
                <w:ilvl w:val="0"/>
                <w:numId w:val="2"/>
              </w:numPr>
              <w:spacing w:after="156" w:afterLines="50" w:line="240" w:lineRule="auto"/>
              <w:ind w:firstLineChars="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检测范围：病原检测覆盖广泛，包括细菌、真菌、病毒、寄生虫、分枝杆菌、支原体/衣原体等20000余种病原微生物，可检测2000余种耐药基因和10余属毒力因子。</w:t>
            </w:r>
          </w:p>
          <w:p w14:paraId="2EF00CF5">
            <w:pPr>
              <w:pStyle w:val="8"/>
              <w:numPr>
                <w:ilvl w:val="0"/>
                <w:numId w:val="2"/>
              </w:numPr>
              <w:spacing w:after="156" w:afterLines="50" w:line="240" w:lineRule="auto"/>
              <w:ind w:firstLineChars="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同时检测DNA和RNA，最大程度降低漏检率。</w:t>
            </w:r>
          </w:p>
          <w:p w14:paraId="26915AF3">
            <w:pPr>
              <w:pStyle w:val="8"/>
              <w:numPr>
                <w:ilvl w:val="0"/>
                <w:numId w:val="2"/>
              </w:numPr>
              <w:spacing w:after="156" w:afterLines="50" w:line="240" w:lineRule="auto"/>
              <w:ind w:firstLineChars="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提供病原微生物分析系统，可在线操作样本信息录入、实验流程、数据审核、检测报告、参数设置、用户管理设定模块，实现了对样本的追踪、记录、分析、展现等的功能。</w:t>
            </w:r>
          </w:p>
          <w:p w14:paraId="5EF72BC1">
            <w:pPr>
              <w:pStyle w:val="8"/>
              <w:numPr>
                <w:ilvl w:val="0"/>
                <w:numId w:val="2"/>
              </w:numPr>
              <w:spacing w:after="156" w:afterLines="50" w:line="240" w:lineRule="auto"/>
              <w:ind w:firstLineChars="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可提供报告代解读服务，为疑难报告提供解读指导。</w:t>
            </w:r>
          </w:p>
          <w:p w14:paraId="0808291A">
            <w:pPr>
              <w:pStyle w:val="8"/>
              <w:numPr>
                <w:ilvl w:val="0"/>
                <w:numId w:val="2"/>
              </w:numPr>
              <w:spacing w:after="156" w:afterLines="50" w:line="240" w:lineRule="auto"/>
              <w:ind w:firstLineChars="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所构建的文库系统可适用半导体测序平台。</w:t>
            </w:r>
          </w:p>
          <w:p w14:paraId="752C847F">
            <w:pPr>
              <w:pStyle w:val="8"/>
              <w:numPr>
                <w:ilvl w:val="0"/>
                <w:numId w:val="2"/>
              </w:numPr>
              <w:spacing w:after="156" w:afterLines="50" w:line="240" w:lineRule="auto"/>
              <w:ind w:firstLineChars="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能够提供病原微生物宏基因组三代测序解决方案优先。</w:t>
            </w:r>
          </w:p>
          <w:p w14:paraId="1C07E536">
            <w:pPr>
              <w:pStyle w:val="8"/>
              <w:numPr>
                <w:ilvl w:val="0"/>
                <w:numId w:val="2"/>
              </w:numPr>
              <w:spacing w:after="156" w:afterLines="50" w:line="240" w:lineRule="auto"/>
              <w:ind w:firstLineChars="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需求数量：360人份</w:t>
            </w:r>
          </w:p>
        </w:tc>
        <w:tc>
          <w:tcPr>
            <w:tcW w:w="1166" w:type="dxa"/>
          </w:tcPr>
          <w:p w14:paraId="61D25040">
            <w:pPr>
              <w:numPr>
                <w:ilvl w:val="0"/>
                <w:numId w:val="0"/>
              </w:numPr>
              <w:spacing w:before="156" w:beforeLines="50"/>
              <w:ind w:left="0" w:leftChars="0" w:firstLine="0" w:firstLineChars="0"/>
              <w:jc w:val="center"/>
              <w:rPr>
                <w:rFonts w:hint="default" w:ascii="宋体" w:hAnsi="宋体" w:eastAsia="微软雅黑" w:cs="宋体"/>
                <w:color w:val="auto"/>
                <w:kern w:val="2"/>
                <w:sz w:val="21"/>
                <w:szCs w:val="21"/>
                <w:highlight w:val="none"/>
                <w:lang w:val="en-US" w:eastAsia="zh-CN" w:bidi="ar-SA"/>
              </w:rPr>
            </w:pPr>
          </w:p>
        </w:tc>
      </w:tr>
      <w:tr w14:paraId="29C74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tcPr>
          <w:p w14:paraId="2DC039CA">
            <w:pPr>
              <w:numPr>
                <w:ilvl w:val="0"/>
                <w:numId w:val="0"/>
              </w:numPr>
              <w:spacing w:before="156" w:beforeLines="50" w:line="240" w:lineRule="auto"/>
              <w:ind w:leftChars="0"/>
              <w:jc w:val="center"/>
              <w:rPr>
                <w:rFonts w:hint="eastAsia" w:ascii="宋体" w:hAnsi="宋体" w:eastAsia="宋体" w:cs="宋体"/>
                <w:i w:val="0"/>
                <w:iCs w:val="0"/>
                <w:caps w:val="0"/>
                <w:color w:val="333333"/>
                <w:spacing w:val="0"/>
                <w:sz w:val="21"/>
                <w:szCs w:val="21"/>
                <w:shd w:val="clear" w:color="auto" w:fill="FFFFFF"/>
                <w:lang w:val="en-US" w:eastAsia="zh-CN"/>
              </w:rPr>
            </w:pPr>
            <w:r>
              <w:rPr>
                <w:rFonts w:hint="eastAsia" w:ascii="宋体" w:hAnsi="宋体" w:eastAsia="宋体" w:cs="宋体"/>
                <w:i w:val="0"/>
                <w:iCs w:val="0"/>
                <w:caps w:val="0"/>
                <w:color w:val="333333"/>
                <w:spacing w:val="0"/>
                <w:sz w:val="21"/>
                <w:szCs w:val="21"/>
                <w:shd w:val="clear" w:color="auto" w:fill="FFFFFF"/>
                <w:lang w:val="en-US" w:eastAsia="zh-CN"/>
              </w:rPr>
              <w:t>2</w:t>
            </w:r>
          </w:p>
        </w:tc>
        <w:tc>
          <w:tcPr>
            <w:tcW w:w="2888" w:type="dxa"/>
          </w:tcPr>
          <w:p w14:paraId="3A0708A3">
            <w:pPr>
              <w:numPr>
                <w:ilvl w:val="0"/>
                <w:numId w:val="0"/>
              </w:numPr>
              <w:spacing w:before="156" w:beforeLines="50" w:line="240" w:lineRule="auto"/>
              <w:ind w:lef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aps w:val="0"/>
                <w:color w:val="333333"/>
                <w:spacing w:val="0"/>
                <w:sz w:val="21"/>
                <w:szCs w:val="21"/>
                <w:shd w:val="clear" w:color="auto" w:fill="FFFFFF"/>
              </w:rPr>
              <w:t>测序反应通用试剂盒</w:t>
            </w:r>
          </w:p>
        </w:tc>
        <w:tc>
          <w:tcPr>
            <w:tcW w:w="4954" w:type="dxa"/>
          </w:tcPr>
          <w:p w14:paraId="2FC6A452">
            <w:pPr>
              <w:pStyle w:val="8"/>
              <w:numPr>
                <w:ilvl w:val="0"/>
                <w:numId w:val="3"/>
              </w:numPr>
              <w:spacing w:after="156" w:afterLines="50" w:line="240" w:lineRule="auto"/>
              <w:ind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与特定建库试剂盒、半导体等测序仪配合使用，完成高通量测序过程，是该测序反应系统的通用试剂。用于体外检测人体样本中的人类、细菌或病毒的基因序列信息。</w:t>
            </w:r>
          </w:p>
          <w:p w14:paraId="44320E1C">
            <w:pPr>
              <w:pStyle w:val="8"/>
              <w:numPr>
                <w:ilvl w:val="0"/>
                <w:numId w:val="3"/>
              </w:numPr>
              <w:spacing w:after="156" w:afterLines="50" w:line="240" w:lineRule="auto"/>
              <w:ind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测序原理：包含但不限于半导体测。</w:t>
            </w:r>
          </w:p>
          <w:p w14:paraId="35D7EBA3">
            <w:pPr>
              <w:pStyle w:val="8"/>
              <w:numPr>
                <w:ilvl w:val="0"/>
                <w:numId w:val="3"/>
              </w:numPr>
              <w:spacing w:after="156" w:afterLines="50" w:line="240" w:lineRule="auto"/>
              <w:ind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数据量：序单张芯片数据量不少于80M。</w:t>
            </w:r>
          </w:p>
          <w:p w14:paraId="0DDE15D8">
            <w:pPr>
              <w:pStyle w:val="8"/>
              <w:numPr>
                <w:ilvl w:val="0"/>
                <w:numId w:val="3"/>
              </w:numPr>
              <w:spacing w:after="156" w:afterLines="50" w:line="240" w:lineRule="auto"/>
              <w:ind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测序读长：≥150bp。</w:t>
            </w:r>
          </w:p>
          <w:p w14:paraId="32E49189">
            <w:pPr>
              <w:pStyle w:val="8"/>
              <w:numPr>
                <w:ilvl w:val="0"/>
                <w:numId w:val="3"/>
              </w:numPr>
              <w:spacing w:after="156" w:afterLines="50" w:line="240" w:lineRule="auto"/>
              <w:ind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mNGS与tNGS可混样上机，提高设备使用效率。</w:t>
            </w:r>
          </w:p>
          <w:p w14:paraId="640511CA">
            <w:pPr>
              <w:pStyle w:val="8"/>
              <w:numPr>
                <w:ilvl w:val="0"/>
                <w:numId w:val="3"/>
              </w:numPr>
              <w:spacing w:after="156" w:afterLines="50" w:line="240" w:lineRule="auto"/>
              <w:ind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需求数量：40测试。</w:t>
            </w:r>
          </w:p>
        </w:tc>
        <w:tc>
          <w:tcPr>
            <w:tcW w:w="1166" w:type="dxa"/>
          </w:tcPr>
          <w:p w14:paraId="41A7F0BC">
            <w:pPr>
              <w:numPr>
                <w:ilvl w:val="0"/>
                <w:numId w:val="0"/>
              </w:numPr>
              <w:spacing w:before="156" w:beforeLines="50" w:line="240" w:lineRule="auto"/>
              <w:ind w:left="0" w:leftChars="0" w:firstLine="0" w:firstLineChars="0"/>
              <w:jc w:val="center"/>
              <w:rPr>
                <w:rFonts w:hint="eastAsia" w:ascii="宋体" w:hAnsi="宋体" w:eastAsia="宋体" w:cs="宋体"/>
                <w:color w:val="auto"/>
                <w:kern w:val="2"/>
                <w:sz w:val="21"/>
                <w:szCs w:val="21"/>
                <w:highlight w:val="none"/>
                <w:lang w:val="en-US" w:eastAsia="zh-CN" w:bidi="ar-SA"/>
              </w:rPr>
            </w:pPr>
          </w:p>
        </w:tc>
      </w:tr>
      <w:tr w14:paraId="065D5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tcPr>
          <w:p w14:paraId="3F293EBC">
            <w:pPr>
              <w:numPr>
                <w:ilvl w:val="0"/>
                <w:numId w:val="0"/>
              </w:numPr>
              <w:spacing w:before="156" w:beforeLines="50" w:line="240" w:lineRule="auto"/>
              <w:ind w:leftChars="0"/>
              <w:jc w:val="center"/>
              <w:rPr>
                <w:rFonts w:hint="eastAsia" w:ascii="宋体" w:hAnsi="宋体" w:eastAsia="宋体" w:cs="宋体"/>
                <w:i w:val="0"/>
                <w:iCs w:val="0"/>
                <w:caps w:val="0"/>
                <w:color w:val="333333"/>
                <w:spacing w:val="0"/>
                <w:sz w:val="21"/>
                <w:szCs w:val="21"/>
                <w:shd w:val="clear" w:color="auto" w:fill="FFFFFF"/>
                <w:lang w:val="en-US" w:eastAsia="zh-CN"/>
              </w:rPr>
            </w:pPr>
            <w:r>
              <w:rPr>
                <w:rFonts w:hint="eastAsia" w:ascii="宋体" w:hAnsi="宋体" w:eastAsia="宋体" w:cs="宋体"/>
                <w:i w:val="0"/>
                <w:iCs w:val="0"/>
                <w:caps w:val="0"/>
                <w:color w:val="333333"/>
                <w:spacing w:val="0"/>
                <w:sz w:val="21"/>
                <w:szCs w:val="21"/>
                <w:shd w:val="clear" w:color="auto" w:fill="FFFFFF"/>
                <w:lang w:val="en-US" w:eastAsia="zh-CN"/>
              </w:rPr>
              <w:t>3</w:t>
            </w:r>
          </w:p>
        </w:tc>
        <w:tc>
          <w:tcPr>
            <w:tcW w:w="2888" w:type="dxa"/>
          </w:tcPr>
          <w:p w14:paraId="6BCDCC31">
            <w:pPr>
              <w:numPr>
                <w:ilvl w:val="0"/>
                <w:numId w:val="0"/>
              </w:numPr>
              <w:spacing w:before="156" w:beforeLines="50" w:line="240" w:lineRule="auto"/>
              <w:ind w:lef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aps w:val="0"/>
                <w:color w:val="333333"/>
                <w:spacing w:val="0"/>
                <w:sz w:val="21"/>
                <w:szCs w:val="21"/>
                <w:shd w:val="clear" w:color="auto" w:fill="FFFFFF"/>
              </w:rPr>
              <w:t>人EGFR/KRAS/BRAF/HER2/ALK/ROS1基因突变检测试剂盒</w:t>
            </w:r>
          </w:p>
        </w:tc>
        <w:tc>
          <w:tcPr>
            <w:tcW w:w="4954" w:type="dxa"/>
          </w:tcPr>
          <w:p w14:paraId="5F2B3D04">
            <w:pPr>
              <w:pStyle w:val="8"/>
              <w:numPr>
                <w:ilvl w:val="0"/>
                <w:numId w:val="4"/>
              </w:numPr>
              <w:spacing w:after="156" w:afterLines="50" w:line="240" w:lineRule="auto"/>
              <w:ind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扩增子数：≥50个扩增子。</w:t>
            </w:r>
          </w:p>
          <w:p w14:paraId="60B853AB">
            <w:pPr>
              <w:pStyle w:val="8"/>
              <w:numPr>
                <w:ilvl w:val="0"/>
                <w:numId w:val="4"/>
              </w:numPr>
              <w:spacing w:after="156" w:afterLines="50" w:line="240" w:lineRule="auto"/>
              <w:ind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检测基因：≥10个。</w:t>
            </w:r>
          </w:p>
          <w:p w14:paraId="30602509">
            <w:pPr>
              <w:pStyle w:val="8"/>
              <w:numPr>
                <w:ilvl w:val="0"/>
                <w:numId w:val="4"/>
              </w:numPr>
              <w:spacing w:after="156" w:afterLines="50" w:line="240" w:lineRule="auto"/>
              <w:ind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突变类型：SNV、Indel、Fusion（DNA base检测SNV和Indel，RNA base检测Fusion）。</w:t>
            </w:r>
          </w:p>
          <w:p w14:paraId="5F0E86C6">
            <w:pPr>
              <w:pStyle w:val="8"/>
              <w:numPr>
                <w:ilvl w:val="0"/>
                <w:numId w:val="4"/>
              </w:numPr>
              <w:spacing w:after="156" w:afterLines="50" w:line="240" w:lineRule="auto"/>
              <w:ind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样本类型：肿瘤石蜡包埋组织蜡块或切片（优先选择）：确定至少含有30%肿瘤病变组织，切片数量为5-10μm白片10片，储存时限不能超过2年。</w:t>
            </w:r>
          </w:p>
          <w:p w14:paraId="64F5DD1D">
            <w:pPr>
              <w:pStyle w:val="8"/>
              <w:numPr>
                <w:ilvl w:val="0"/>
                <w:numId w:val="4"/>
              </w:numPr>
              <w:spacing w:after="156" w:afterLines="50" w:line="240" w:lineRule="auto"/>
              <w:ind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需求数量：10测试（人份）。</w:t>
            </w:r>
          </w:p>
        </w:tc>
        <w:tc>
          <w:tcPr>
            <w:tcW w:w="1166" w:type="dxa"/>
          </w:tcPr>
          <w:p w14:paraId="610FD35E">
            <w:pPr>
              <w:numPr>
                <w:ilvl w:val="0"/>
                <w:numId w:val="0"/>
              </w:numPr>
              <w:spacing w:before="156" w:beforeLines="50" w:line="240" w:lineRule="auto"/>
              <w:ind w:left="0" w:leftChars="0" w:firstLine="0" w:firstLineChars="0"/>
              <w:jc w:val="center"/>
              <w:rPr>
                <w:rFonts w:hint="eastAsia" w:ascii="宋体" w:hAnsi="宋体" w:eastAsia="宋体" w:cs="宋体"/>
                <w:color w:val="auto"/>
                <w:kern w:val="2"/>
                <w:sz w:val="21"/>
                <w:szCs w:val="21"/>
                <w:highlight w:val="none"/>
                <w:lang w:val="en-US" w:eastAsia="zh-CN" w:bidi="ar-SA"/>
              </w:rPr>
            </w:pPr>
          </w:p>
        </w:tc>
      </w:tr>
      <w:tr w14:paraId="0ED71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tcPr>
          <w:p w14:paraId="572E931F">
            <w:pPr>
              <w:numPr>
                <w:ilvl w:val="0"/>
                <w:numId w:val="0"/>
              </w:numPr>
              <w:spacing w:before="156" w:beforeLines="50" w:line="240" w:lineRule="auto"/>
              <w:ind w:leftChars="0"/>
              <w:jc w:val="center"/>
              <w:rPr>
                <w:rFonts w:hint="eastAsia" w:ascii="宋体" w:hAnsi="宋体" w:eastAsia="宋体" w:cs="宋体"/>
                <w:i w:val="0"/>
                <w:iCs w:val="0"/>
                <w:caps w:val="0"/>
                <w:color w:val="333333"/>
                <w:spacing w:val="0"/>
                <w:sz w:val="21"/>
                <w:szCs w:val="21"/>
                <w:shd w:val="clear" w:color="auto" w:fill="FFFFFF"/>
                <w:lang w:val="en-US" w:eastAsia="zh-CN"/>
              </w:rPr>
            </w:pPr>
            <w:r>
              <w:rPr>
                <w:rFonts w:hint="eastAsia" w:ascii="宋体" w:hAnsi="宋体" w:eastAsia="宋体" w:cs="宋体"/>
                <w:i w:val="0"/>
                <w:iCs w:val="0"/>
                <w:caps w:val="0"/>
                <w:color w:val="333333"/>
                <w:spacing w:val="0"/>
                <w:sz w:val="21"/>
                <w:szCs w:val="21"/>
                <w:shd w:val="clear" w:color="auto" w:fill="FFFFFF"/>
                <w:lang w:val="en-US" w:eastAsia="zh-CN"/>
              </w:rPr>
              <w:t>4</w:t>
            </w:r>
          </w:p>
        </w:tc>
        <w:tc>
          <w:tcPr>
            <w:tcW w:w="2888" w:type="dxa"/>
          </w:tcPr>
          <w:p w14:paraId="5D95481E">
            <w:pPr>
              <w:numPr>
                <w:ilvl w:val="0"/>
                <w:numId w:val="0"/>
              </w:numPr>
              <w:spacing w:before="156" w:beforeLines="50" w:line="240" w:lineRule="auto"/>
              <w:ind w:lef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aps w:val="0"/>
                <w:color w:val="333333"/>
                <w:spacing w:val="0"/>
                <w:sz w:val="21"/>
                <w:szCs w:val="21"/>
                <w:shd w:val="clear" w:color="auto" w:fill="FFFFFF"/>
              </w:rPr>
              <w:t>人类8基因突变联合检测试剂盒</w:t>
            </w:r>
          </w:p>
        </w:tc>
        <w:tc>
          <w:tcPr>
            <w:tcW w:w="4954" w:type="dxa"/>
          </w:tcPr>
          <w:p w14:paraId="2240217A">
            <w:pPr>
              <w:pStyle w:val="8"/>
              <w:numPr>
                <w:ilvl w:val="0"/>
                <w:numId w:val="5"/>
              </w:numPr>
              <w:spacing w:after="156" w:afterLines="50" w:line="240" w:lineRule="auto"/>
              <w:ind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预期用途：该试剂盒用</w:t>
            </w:r>
            <w:bookmarkStart w:id="0" w:name="OLE_LINK1"/>
            <w:r>
              <w:rPr>
                <w:rFonts w:hint="eastAsia" w:ascii="宋体" w:hAnsi="宋体" w:eastAsia="宋体" w:cs="宋体"/>
                <w:sz w:val="21"/>
                <w:szCs w:val="21"/>
                <w:lang w:val="en-US" w:eastAsia="zh-CN"/>
              </w:rPr>
              <w:t>于定性检测诊断为非小细胞肺癌（NSCLC）病人肿瘤组织的福尔马林固定石蜡包埋切片（FFPE）样本中的脱氧核糖核酸（DNA）中EGFR、KRAS、BRAF、HER2和PIK3CA基因突变，及核糖核酸（RNA）中ALK和ROS1基因融合以及MET基因14外显子跳跃。</w:t>
            </w:r>
            <w:bookmarkEnd w:id="0"/>
          </w:p>
          <w:p w14:paraId="512D4B76">
            <w:pPr>
              <w:pStyle w:val="8"/>
              <w:numPr>
                <w:ilvl w:val="0"/>
                <w:numId w:val="5"/>
              </w:numPr>
              <w:spacing w:after="156" w:afterLines="50" w:line="240" w:lineRule="auto"/>
              <w:ind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适用机型：适用于半导体平台测序仪等进行基因测序检测平台。</w:t>
            </w:r>
          </w:p>
          <w:p w14:paraId="7FED4C45">
            <w:pPr>
              <w:pStyle w:val="8"/>
              <w:numPr>
                <w:ilvl w:val="0"/>
                <w:numId w:val="5"/>
              </w:numPr>
              <w:spacing w:after="156" w:afterLines="50" w:line="240" w:lineRule="auto"/>
              <w:ind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变异类型：可以检测多种临床意义明确的变异，如突变、插入、缺失融合。</w:t>
            </w:r>
          </w:p>
          <w:p w14:paraId="01D301DA">
            <w:pPr>
              <w:pStyle w:val="8"/>
              <w:numPr>
                <w:ilvl w:val="0"/>
                <w:numId w:val="5"/>
              </w:numPr>
              <w:spacing w:after="156" w:afterLines="50" w:line="240" w:lineRule="auto"/>
              <w:ind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配套软件：有配套的自动化分析软件及自动化报告软件，免费提供且免费升级，公司定期升级（升级原因：数据库更新，插件更新等），可以在医院端进行安装并能展示相应的分析检测结果。</w:t>
            </w:r>
          </w:p>
          <w:p w14:paraId="760B246C">
            <w:pPr>
              <w:pStyle w:val="8"/>
              <w:numPr>
                <w:ilvl w:val="0"/>
                <w:numId w:val="5"/>
              </w:numPr>
              <w:spacing w:after="156" w:afterLines="50" w:line="240" w:lineRule="auto"/>
              <w:ind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重复性：检测4份重复性参考品，重复检测5次，结果应分别对应其突变类型。</w:t>
            </w:r>
          </w:p>
          <w:p w14:paraId="4587B82C">
            <w:pPr>
              <w:pStyle w:val="8"/>
              <w:numPr>
                <w:ilvl w:val="0"/>
                <w:numId w:val="5"/>
              </w:numPr>
              <w:spacing w:after="156" w:afterLines="50" w:line="240" w:lineRule="auto"/>
              <w:ind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干扰分析：在临床FFPE样本处理过程中加入2 mg/mL的血红蛋白、37 mM的甘油三酯、2 mL的二甲苯、等体积坏死组织和21.7 mmol/L的乙醇，均不干扰本试剂盒的检测结果。</w:t>
            </w:r>
          </w:p>
          <w:p w14:paraId="07F09F5B">
            <w:pPr>
              <w:pStyle w:val="8"/>
              <w:numPr>
                <w:ilvl w:val="0"/>
                <w:numId w:val="5"/>
              </w:numPr>
              <w:spacing w:after="156" w:afterLines="50" w:line="240" w:lineRule="auto"/>
              <w:ind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需求数量：10测试（人份）。</w:t>
            </w:r>
          </w:p>
        </w:tc>
        <w:tc>
          <w:tcPr>
            <w:tcW w:w="1166" w:type="dxa"/>
          </w:tcPr>
          <w:p w14:paraId="592F45D2">
            <w:pPr>
              <w:numPr>
                <w:ilvl w:val="0"/>
                <w:numId w:val="0"/>
              </w:numPr>
              <w:spacing w:before="156" w:beforeLines="50" w:line="240" w:lineRule="auto"/>
              <w:ind w:left="0" w:leftChars="0" w:firstLine="0" w:firstLineChars="0"/>
              <w:jc w:val="center"/>
              <w:rPr>
                <w:rFonts w:hint="eastAsia" w:ascii="宋体" w:hAnsi="宋体" w:eastAsia="宋体" w:cs="宋体"/>
                <w:color w:val="auto"/>
                <w:kern w:val="2"/>
                <w:sz w:val="21"/>
                <w:szCs w:val="21"/>
                <w:highlight w:val="none"/>
                <w:lang w:val="en-US" w:eastAsia="zh-CN" w:bidi="ar-SA"/>
              </w:rPr>
            </w:pPr>
          </w:p>
        </w:tc>
      </w:tr>
      <w:tr w14:paraId="6F7F5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tcPr>
          <w:p w14:paraId="5FCF7BB8">
            <w:pPr>
              <w:numPr>
                <w:ilvl w:val="0"/>
                <w:numId w:val="0"/>
              </w:numPr>
              <w:spacing w:before="156" w:beforeLines="50" w:line="240" w:lineRule="auto"/>
              <w:ind w:leftChars="0"/>
              <w:jc w:val="center"/>
              <w:rPr>
                <w:rFonts w:hint="eastAsia" w:ascii="宋体" w:hAnsi="宋体" w:eastAsia="宋体" w:cs="宋体"/>
                <w:i w:val="0"/>
                <w:iCs w:val="0"/>
                <w:caps w:val="0"/>
                <w:color w:val="333333"/>
                <w:spacing w:val="0"/>
                <w:sz w:val="21"/>
                <w:szCs w:val="21"/>
                <w:shd w:val="clear" w:color="auto" w:fill="FFFFFF"/>
                <w:lang w:val="en-US" w:eastAsia="zh-CN"/>
              </w:rPr>
            </w:pPr>
            <w:r>
              <w:rPr>
                <w:rFonts w:hint="eastAsia" w:ascii="宋体" w:hAnsi="宋体" w:eastAsia="宋体" w:cs="宋体"/>
                <w:i w:val="0"/>
                <w:iCs w:val="0"/>
                <w:caps w:val="0"/>
                <w:color w:val="333333"/>
                <w:spacing w:val="0"/>
                <w:sz w:val="21"/>
                <w:szCs w:val="21"/>
                <w:shd w:val="clear" w:color="auto" w:fill="FFFFFF"/>
                <w:lang w:val="en-US" w:eastAsia="zh-CN"/>
              </w:rPr>
              <w:t>5</w:t>
            </w:r>
          </w:p>
        </w:tc>
        <w:tc>
          <w:tcPr>
            <w:tcW w:w="2888" w:type="dxa"/>
          </w:tcPr>
          <w:p w14:paraId="4BBE9359">
            <w:pPr>
              <w:numPr>
                <w:ilvl w:val="0"/>
                <w:numId w:val="0"/>
              </w:numPr>
              <w:spacing w:before="156" w:beforeLines="50" w:line="240" w:lineRule="auto"/>
              <w:ind w:lef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aps w:val="0"/>
                <w:color w:val="333333"/>
                <w:spacing w:val="0"/>
                <w:sz w:val="21"/>
                <w:szCs w:val="21"/>
                <w:shd w:val="clear" w:color="auto" w:fill="FFFFFF"/>
              </w:rPr>
              <w:t>核酸提取或纯化试剂</w:t>
            </w:r>
          </w:p>
        </w:tc>
        <w:tc>
          <w:tcPr>
            <w:tcW w:w="4954" w:type="dxa"/>
          </w:tcPr>
          <w:p w14:paraId="622B6663">
            <w:pPr>
              <w:pStyle w:val="8"/>
              <w:numPr>
                <w:ilvl w:val="0"/>
                <w:numId w:val="6"/>
              </w:numPr>
              <w:spacing w:after="156" w:afterLines="50" w:line="240" w:lineRule="auto"/>
              <w:ind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DNA+RNA同时检测,最大程度降低漏检率。</w:t>
            </w:r>
          </w:p>
          <w:p w14:paraId="23360665">
            <w:pPr>
              <w:pStyle w:val="8"/>
              <w:numPr>
                <w:ilvl w:val="0"/>
                <w:numId w:val="6"/>
              </w:numPr>
              <w:spacing w:after="156" w:afterLines="50" w:line="240" w:lineRule="auto"/>
              <w:ind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专属靶向病原序列数据库、背景数据库、智能分析算法及规范的解读准则,实现高效准确检测报告出具。</w:t>
            </w:r>
          </w:p>
          <w:p w14:paraId="78028B35">
            <w:pPr>
              <w:pStyle w:val="8"/>
              <w:numPr>
                <w:ilvl w:val="0"/>
                <w:numId w:val="6"/>
              </w:numPr>
              <w:spacing w:after="156" w:afterLines="50" w:line="240" w:lineRule="auto"/>
              <w:ind w:firstLineChars="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泛感染试剂检测范围不少于400种微生物，样本类型能够覆盖肺泡灌洗液、痰液、尿液、脑脊液、脓肿、胆汁、其他穿刺液以及病理切片等临床多种样本类型。</w:t>
            </w:r>
          </w:p>
          <w:p w14:paraId="0D72E411">
            <w:pPr>
              <w:pStyle w:val="8"/>
              <w:numPr>
                <w:ilvl w:val="0"/>
                <w:numId w:val="6"/>
              </w:numPr>
              <w:spacing w:after="156" w:afterLines="50" w:line="240" w:lineRule="auto"/>
              <w:ind w:firstLineChars="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可提供专属呼吸道靶向测序检测解决方案，检测范围不少于300种，样本类型覆盖人咽拭子、痰液、肺泡灌洗液等样本。</w:t>
            </w:r>
          </w:p>
          <w:p w14:paraId="50CECAE2">
            <w:pPr>
              <w:pStyle w:val="8"/>
              <w:numPr>
                <w:ilvl w:val="0"/>
                <w:numId w:val="6"/>
              </w:numPr>
              <w:spacing w:after="156" w:afterLines="50" w:line="240" w:lineRule="auto"/>
              <w:ind w:firstLineChars="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真菌检测解决方案检测范围不少于70种，样本类型覆盖血液、痰液、肺泡灌洗液、骨髓、脑脊液、咽拭子、关节液、胸水、腹水、粪便、尿液、唾液、分泌物、组织等。</w:t>
            </w:r>
          </w:p>
          <w:p w14:paraId="2B185101">
            <w:pPr>
              <w:pStyle w:val="8"/>
              <w:numPr>
                <w:ilvl w:val="0"/>
                <w:numId w:val="6"/>
              </w:numPr>
              <w:spacing w:after="156" w:afterLines="50" w:line="240" w:lineRule="auto"/>
              <w:ind w:firstLineChars="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所构建的文库系统可适用于半导体等测序平台。</w:t>
            </w:r>
          </w:p>
          <w:p w14:paraId="7427ACF7">
            <w:pPr>
              <w:pStyle w:val="8"/>
              <w:numPr>
                <w:ilvl w:val="0"/>
                <w:numId w:val="6"/>
              </w:numPr>
              <w:spacing w:after="156" w:afterLines="50" w:line="240" w:lineRule="auto"/>
              <w:ind w:firstLineChars="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泛感染检测可提供三代测序解决方案优先。</w:t>
            </w:r>
          </w:p>
          <w:p w14:paraId="05977217">
            <w:pPr>
              <w:pStyle w:val="8"/>
              <w:numPr>
                <w:ilvl w:val="0"/>
                <w:numId w:val="6"/>
              </w:numPr>
              <w:spacing w:after="156" w:afterLines="50" w:line="240" w:lineRule="auto"/>
              <w:ind w:firstLineChars="0"/>
              <w:rPr>
                <w:rFonts w:hint="eastAsia" w:ascii="宋体" w:hAnsi="宋体" w:eastAsia="宋体" w:cs="宋体"/>
                <w:sz w:val="21"/>
                <w:szCs w:val="21"/>
                <w:lang w:val="en-US" w:eastAsia="zh-CN"/>
              </w:rPr>
            </w:pPr>
            <w:r>
              <w:rPr>
                <w:rFonts w:hint="eastAsia" w:ascii="宋体" w:hAnsi="宋体" w:eastAsia="宋体" w:cs="宋体"/>
                <w:b w:val="0"/>
                <w:bCs w:val="0"/>
                <w:sz w:val="21"/>
                <w:szCs w:val="21"/>
                <w:lang w:val="en-US" w:eastAsia="zh-CN"/>
              </w:rPr>
              <w:t>需求数量：360人份。</w:t>
            </w:r>
          </w:p>
        </w:tc>
        <w:tc>
          <w:tcPr>
            <w:tcW w:w="1166" w:type="dxa"/>
          </w:tcPr>
          <w:p w14:paraId="6045CDD0">
            <w:pPr>
              <w:numPr>
                <w:ilvl w:val="0"/>
                <w:numId w:val="0"/>
              </w:numPr>
              <w:spacing w:before="156" w:beforeLines="50" w:line="240" w:lineRule="auto"/>
              <w:ind w:left="0" w:leftChars="0" w:firstLine="0" w:firstLineChars="0"/>
              <w:jc w:val="center"/>
              <w:rPr>
                <w:rFonts w:hint="eastAsia" w:ascii="宋体" w:hAnsi="宋体" w:eastAsia="宋体" w:cs="宋体"/>
                <w:color w:val="auto"/>
                <w:kern w:val="2"/>
                <w:sz w:val="21"/>
                <w:szCs w:val="21"/>
                <w:highlight w:val="none"/>
                <w:lang w:val="en-US" w:eastAsia="zh-CN" w:bidi="ar-SA"/>
              </w:rPr>
            </w:pPr>
          </w:p>
        </w:tc>
      </w:tr>
      <w:tr w14:paraId="4F6A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0" w:hRule="atLeast"/>
        </w:trPr>
        <w:tc>
          <w:tcPr>
            <w:tcW w:w="596" w:type="dxa"/>
          </w:tcPr>
          <w:p w14:paraId="3CB61F13">
            <w:pPr>
              <w:numPr>
                <w:ilvl w:val="0"/>
                <w:numId w:val="0"/>
              </w:numPr>
              <w:spacing w:before="156" w:beforeLines="50" w:line="240" w:lineRule="auto"/>
              <w:ind w:leftChars="0"/>
              <w:jc w:val="center"/>
              <w:rPr>
                <w:rFonts w:hint="eastAsia" w:ascii="宋体" w:hAnsi="宋体" w:eastAsia="宋体" w:cs="宋体"/>
                <w:i w:val="0"/>
                <w:iCs w:val="0"/>
                <w:caps w:val="0"/>
                <w:color w:val="333333"/>
                <w:spacing w:val="0"/>
                <w:sz w:val="21"/>
                <w:szCs w:val="21"/>
                <w:shd w:val="clear" w:color="auto" w:fill="FFFFFF"/>
                <w:lang w:val="en-US" w:eastAsia="zh-CN"/>
              </w:rPr>
            </w:pPr>
            <w:r>
              <w:rPr>
                <w:rFonts w:hint="eastAsia" w:ascii="宋体" w:hAnsi="宋体" w:eastAsia="宋体" w:cs="宋体"/>
                <w:i w:val="0"/>
                <w:iCs w:val="0"/>
                <w:caps w:val="0"/>
                <w:color w:val="333333"/>
                <w:spacing w:val="0"/>
                <w:sz w:val="21"/>
                <w:szCs w:val="21"/>
                <w:shd w:val="clear" w:color="auto" w:fill="FFFFFF"/>
                <w:lang w:val="en-US" w:eastAsia="zh-CN"/>
              </w:rPr>
              <w:t>6</w:t>
            </w:r>
          </w:p>
        </w:tc>
        <w:tc>
          <w:tcPr>
            <w:tcW w:w="2888" w:type="dxa"/>
          </w:tcPr>
          <w:p w14:paraId="2464218F">
            <w:pPr>
              <w:numPr>
                <w:ilvl w:val="0"/>
                <w:numId w:val="0"/>
              </w:numPr>
              <w:spacing w:before="156" w:beforeLines="50" w:line="240" w:lineRule="auto"/>
              <w:ind w:lef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aps w:val="0"/>
                <w:color w:val="333333"/>
                <w:spacing w:val="0"/>
                <w:sz w:val="21"/>
                <w:szCs w:val="21"/>
                <w:shd w:val="clear" w:color="auto" w:fill="FFFFFF"/>
              </w:rPr>
              <w:t>胎儿染色体非整倍体(T21、T18、T13)检测试剂盒</w:t>
            </w:r>
          </w:p>
        </w:tc>
        <w:tc>
          <w:tcPr>
            <w:tcW w:w="4954" w:type="dxa"/>
          </w:tcPr>
          <w:p w14:paraId="567EFC30">
            <w:pPr>
              <w:pStyle w:val="8"/>
              <w:numPr>
                <w:ilvl w:val="0"/>
                <w:numId w:val="7"/>
              </w:numPr>
              <w:spacing w:after="156" w:afterLines="50" w:line="240" w:lineRule="auto"/>
              <w:ind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适用范围：适用于胎儿染色体非整倍体(T21、T18、T13)检测。</w:t>
            </w:r>
          </w:p>
          <w:p w14:paraId="6AE2C250">
            <w:pPr>
              <w:pStyle w:val="8"/>
              <w:numPr>
                <w:ilvl w:val="0"/>
                <w:numId w:val="7"/>
              </w:numPr>
              <w:spacing w:after="156" w:afterLines="50" w:line="240" w:lineRule="auto"/>
              <w:ind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测序次数：2-4次/天 。</w:t>
            </w:r>
          </w:p>
          <w:p w14:paraId="689D00BD">
            <w:pPr>
              <w:pStyle w:val="8"/>
              <w:numPr>
                <w:ilvl w:val="0"/>
                <w:numId w:val="7"/>
              </w:numPr>
              <w:spacing w:after="156" w:afterLines="50" w:line="240" w:lineRule="auto"/>
              <w:ind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测序平均读长：&gt;100bp 。</w:t>
            </w:r>
          </w:p>
          <w:p w14:paraId="348D924B">
            <w:pPr>
              <w:pStyle w:val="8"/>
              <w:numPr>
                <w:ilvl w:val="0"/>
                <w:numId w:val="7"/>
              </w:numPr>
              <w:spacing w:after="156" w:afterLines="50" w:line="240" w:lineRule="auto"/>
              <w:ind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特异性：无创产前基因检测21三体综合征、18三体综合征、13三体综合征三项特异性均不低于99%。</w:t>
            </w:r>
          </w:p>
          <w:p w14:paraId="6CC95517">
            <w:pPr>
              <w:pStyle w:val="8"/>
              <w:numPr>
                <w:ilvl w:val="0"/>
                <w:numId w:val="7"/>
              </w:numPr>
              <w:spacing w:after="156" w:afterLines="50" w:line="240" w:lineRule="auto"/>
              <w:ind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灵敏度：无创产前基因检测21三体综合征、18三体综合征、13三体综合征三项灵敏度均不低于98%。</w:t>
            </w:r>
          </w:p>
          <w:p w14:paraId="49E451B9">
            <w:pPr>
              <w:pStyle w:val="8"/>
              <w:numPr>
                <w:ilvl w:val="0"/>
                <w:numId w:val="7"/>
              </w:numPr>
              <w:spacing w:after="156" w:afterLines="50" w:line="240" w:lineRule="auto"/>
              <w:ind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评估胎儿游离DNA 浓度：可准确评估胎儿游离DNA 浓度(不受胎儿性别限制）。</w:t>
            </w:r>
          </w:p>
          <w:p w14:paraId="0922ECD9">
            <w:pPr>
              <w:pStyle w:val="8"/>
              <w:numPr>
                <w:ilvl w:val="0"/>
                <w:numId w:val="7"/>
              </w:numPr>
              <w:spacing w:after="156" w:afterLines="50" w:line="240" w:lineRule="auto"/>
              <w:ind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实验内部质控：配套试剂盒含阳性和阴性对照品，对照品参与整个实验流程。</w:t>
            </w:r>
          </w:p>
          <w:p w14:paraId="1F2F4A29">
            <w:pPr>
              <w:pStyle w:val="8"/>
              <w:numPr>
                <w:ilvl w:val="0"/>
                <w:numId w:val="7"/>
              </w:numPr>
              <w:spacing w:after="156" w:afterLines="50" w:line="240" w:lineRule="auto"/>
              <w:ind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需求数量：50测试（人份）。</w:t>
            </w:r>
          </w:p>
        </w:tc>
        <w:tc>
          <w:tcPr>
            <w:tcW w:w="1166" w:type="dxa"/>
          </w:tcPr>
          <w:p w14:paraId="31FA6C9D">
            <w:pPr>
              <w:numPr>
                <w:ilvl w:val="0"/>
                <w:numId w:val="0"/>
              </w:numPr>
              <w:spacing w:before="156" w:beforeLines="50" w:line="240" w:lineRule="auto"/>
              <w:ind w:left="0" w:leftChars="0" w:firstLine="0" w:firstLineChars="0"/>
              <w:jc w:val="center"/>
              <w:rPr>
                <w:rFonts w:hint="eastAsia" w:ascii="宋体" w:hAnsi="宋体" w:eastAsia="宋体" w:cs="宋体"/>
                <w:color w:val="auto"/>
                <w:kern w:val="2"/>
                <w:sz w:val="21"/>
                <w:szCs w:val="21"/>
                <w:highlight w:val="none"/>
                <w:lang w:val="en-US" w:eastAsia="zh-CN" w:bidi="ar-SA"/>
              </w:rPr>
            </w:pPr>
          </w:p>
        </w:tc>
      </w:tr>
      <w:tr w14:paraId="44D78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9604" w:type="dxa"/>
            <w:gridSpan w:val="4"/>
          </w:tcPr>
          <w:p w14:paraId="626B8DE9">
            <w:pPr>
              <w:spacing w:before="156" w:beforeLines="50" w:line="240" w:lineRule="auto"/>
              <w:jc w:val="left"/>
              <w:rPr>
                <w:rFonts w:hint="eastAsia" w:ascii="宋体" w:hAnsi="宋体" w:eastAsia="宋体" w:cs="宋体"/>
                <w:i w:val="0"/>
                <w:iCs w:val="0"/>
                <w:caps w:val="0"/>
                <w:color w:val="333333"/>
                <w:spacing w:val="0"/>
                <w:sz w:val="21"/>
                <w:szCs w:val="21"/>
                <w:shd w:val="clear" w:color="auto" w:fill="FFFFFF"/>
                <w:lang w:val="en-US" w:eastAsia="zh-CN"/>
              </w:rPr>
            </w:pPr>
            <w:r>
              <w:rPr>
                <w:rFonts w:hint="eastAsia" w:ascii="宋体" w:hAnsi="宋体" w:eastAsia="宋体" w:cs="宋体"/>
                <w:b/>
                <w:bCs/>
                <w:i w:val="0"/>
                <w:iCs w:val="0"/>
                <w:caps w:val="0"/>
                <w:color w:val="333333"/>
                <w:spacing w:val="0"/>
                <w:sz w:val="21"/>
                <w:szCs w:val="21"/>
                <w:shd w:val="clear" w:color="auto" w:fill="FFFFFF"/>
                <w:lang w:val="en-US" w:eastAsia="zh-CN"/>
              </w:rPr>
              <w:t>注：以上需求意向仅供市场调研论证参考，不作为实际需求参数，请各参与公司根据以上意向需求，推介至少满足或优于意向需求的且性价比高的产品。</w:t>
            </w:r>
          </w:p>
        </w:tc>
      </w:tr>
    </w:tbl>
    <w:p w14:paraId="2A2A8091">
      <w:pPr>
        <w:spacing w:before="156" w:beforeLines="50" w:line="240" w:lineRule="auto"/>
        <w:jc w:val="left"/>
        <w:rPr>
          <w:rFonts w:hint="eastAsia" w:ascii="宋体" w:hAnsi="宋体" w:cs="宋体"/>
          <w:b/>
          <w:bCs/>
          <w:i w:val="0"/>
          <w:iCs w:val="0"/>
          <w:caps w:val="0"/>
          <w:color w:val="333333"/>
          <w:spacing w:val="0"/>
          <w:sz w:val="28"/>
          <w:szCs w:val="28"/>
          <w:shd w:val="clear" w:color="auto" w:fill="FFFFFF"/>
          <w:lang w:val="en-US" w:eastAsia="zh-CN"/>
        </w:rPr>
      </w:pPr>
    </w:p>
    <w:p w14:paraId="382F2126">
      <w:pPr>
        <w:spacing w:before="156" w:beforeLines="50" w:line="240" w:lineRule="auto"/>
        <w:jc w:val="left"/>
        <w:rPr>
          <w:rFonts w:hint="eastAsia" w:ascii="宋体" w:hAnsi="宋体" w:cs="宋体"/>
          <w:b/>
          <w:bCs/>
          <w:i w:val="0"/>
          <w:iCs w:val="0"/>
          <w:caps w:val="0"/>
          <w:color w:val="333333"/>
          <w:spacing w:val="0"/>
          <w:sz w:val="28"/>
          <w:szCs w:val="28"/>
          <w:shd w:val="clear" w:color="auto" w:fill="FFFFFF"/>
          <w:lang w:val="en-US" w:eastAsia="zh-CN"/>
        </w:rPr>
      </w:pPr>
    </w:p>
    <w:p w14:paraId="1B585EA2">
      <w:pPr>
        <w:spacing w:before="156" w:beforeLines="50" w:line="240" w:lineRule="auto"/>
        <w:jc w:val="left"/>
        <w:rPr>
          <w:rFonts w:hint="eastAsia" w:ascii="宋体" w:hAnsi="宋体" w:cs="宋体"/>
          <w:b/>
          <w:bCs/>
          <w:i w:val="0"/>
          <w:iCs w:val="0"/>
          <w:caps w:val="0"/>
          <w:color w:val="333333"/>
          <w:spacing w:val="0"/>
          <w:sz w:val="28"/>
          <w:szCs w:val="28"/>
          <w:shd w:val="clear" w:color="auto" w:fill="FFFFFF"/>
          <w:lang w:val="en-US" w:eastAsia="zh-CN"/>
        </w:rPr>
      </w:pPr>
    </w:p>
    <w:p w14:paraId="02A18355">
      <w:pPr>
        <w:spacing w:before="156" w:beforeLines="50" w:line="240" w:lineRule="auto"/>
        <w:jc w:val="left"/>
        <w:rPr>
          <w:rFonts w:hint="eastAsia" w:ascii="宋体" w:hAnsi="宋体" w:cs="宋体"/>
          <w:b/>
          <w:bCs/>
          <w:i w:val="0"/>
          <w:iCs w:val="0"/>
          <w:caps w:val="0"/>
          <w:color w:val="333333"/>
          <w:spacing w:val="0"/>
          <w:sz w:val="28"/>
          <w:szCs w:val="28"/>
          <w:shd w:val="clear" w:color="auto" w:fill="FFFFFF"/>
          <w:lang w:val="en-US" w:eastAsia="zh-CN"/>
        </w:rPr>
      </w:pPr>
    </w:p>
    <w:p w14:paraId="78433709">
      <w:pPr>
        <w:spacing w:before="156" w:beforeLines="50" w:line="240" w:lineRule="auto"/>
        <w:jc w:val="left"/>
        <w:rPr>
          <w:rFonts w:hint="eastAsia" w:ascii="宋体" w:hAnsi="宋体" w:cs="宋体"/>
          <w:b/>
          <w:bCs/>
          <w:i w:val="0"/>
          <w:iCs w:val="0"/>
          <w:caps w:val="0"/>
          <w:color w:val="333333"/>
          <w:spacing w:val="0"/>
          <w:sz w:val="28"/>
          <w:szCs w:val="28"/>
          <w:shd w:val="clear" w:color="auto" w:fill="FFFFFF"/>
          <w:lang w:val="en-US" w:eastAsia="zh-CN"/>
        </w:rPr>
      </w:pPr>
    </w:p>
    <w:p w14:paraId="1EB89389">
      <w:pPr>
        <w:spacing w:before="156" w:beforeLines="50" w:line="240" w:lineRule="auto"/>
        <w:jc w:val="left"/>
        <w:rPr>
          <w:rFonts w:hint="eastAsia" w:ascii="宋体" w:hAnsi="宋体" w:cs="宋体"/>
          <w:b/>
          <w:bCs/>
          <w:i w:val="0"/>
          <w:iCs w:val="0"/>
          <w:caps w:val="0"/>
          <w:color w:val="333333"/>
          <w:spacing w:val="0"/>
          <w:sz w:val="28"/>
          <w:szCs w:val="28"/>
          <w:shd w:val="clear" w:color="auto" w:fill="FFFFFF"/>
          <w:lang w:val="en-US" w:eastAsia="zh-CN"/>
        </w:rPr>
      </w:pPr>
      <w:bookmarkStart w:id="1" w:name="_GoBack"/>
      <w:bookmarkEnd w:id="1"/>
      <w:r>
        <w:rPr>
          <w:rFonts w:hint="eastAsia" w:ascii="宋体" w:hAnsi="宋体" w:cs="宋体"/>
          <w:b/>
          <w:bCs/>
          <w:i w:val="0"/>
          <w:iCs w:val="0"/>
          <w:caps w:val="0"/>
          <w:color w:val="333333"/>
          <w:spacing w:val="0"/>
          <w:sz w:val="28"/>
          <w:szCs w:val="28"/>
          <w:shd w:val="clear" w:color="auto" w:fill="FFFFFF"/>
          <w:lang w:val="en-US" w:eastAsia="zh-CN"/>
        </w:rPr>
        <w:t>附件3：</w:t>
      </w:r>
    </w:p>
    <w:tbl>
      <w:tblPr>
        <w:tblStyle w:val="5"/>
        <w:tblW w:w="9585" w:type="dxa"/>
        <w:tblInd w:w="-41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2130"/>
        <w:gridCol w:w="1065"/>
        <w:gridCol w:w="906"/>
        <w:gridCol w:w="860"/>
        <w:gridCol w:w="949"/>
        <w:gridCol w:w="660"/>
        <w:gridCol w:w="885"/>
        <w:gridCol w:w="1320"/>
      </w:tblGrid>
      <w:tr w14:paraId="37C58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585" w:type="dxa"/>
            <w:gridSpan w:val="9"/>
            <w:tcBorders>
              <w:top w:val="nil"/>
              <w:left w:val="nil"/>
              <w:bottom w:val="nil"/>
              <w:right w:val="nil"/>
            </w:tcBorders>
            <w:shd w:val="clear" w:color="auto" w:fill="auto"/>
            <w:noWrap/>
            <w:vAlign w:val="center"/>
          </w:tcPr>
          <w:p w14:paraId="17C13A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产品报价表样本</w:t>
            </w:r>
          </w:p>
        </w:tc>
      </w:tr>
      <w:tr w14:paraId="26F39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E6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2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设备（耗材）名称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E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3B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BB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生产厂家</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CF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计量单位</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45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30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AA1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金额（元）</w:t>
            </w:r>
          </w:p>
        </w:tc>
      </w:tr>
      <w:tr w14:paraId="7C91D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F6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09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基因测序仪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B03F">
            <w:pPr>
              <w:jc w:val="center"/>
              <w:rPr>
                <w:rFonts w:hint="eastAsia" w:ascii="宋体" w:hAnsi="宋体" w:eastAsia="宋体" w:cs="宋体"/>
                <w:i w:val="0"/>
                <w:iCs w:val="0"/>
                <w:color w:val="000000"/>
                <w:sz w:val="22"/>
                <w:szCs w:val="22"/>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14CE0">
            <w:pPr>
              <w:jc w:val="center"/>
              <w:rPr>
                <w:rFonts w:hint="eastAsia" w:ascii="宋体" w:hAnsi="宋体" w:eastAsia="宋体" w:cs="宋体"/>
                <w:i w:val="0"/>
                <w:iCs w:val="0"/>
                <w:color w:val="000000"/>
                <w:sz w:val="22"/>
                <w:szCs w:val="22"/>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7AB77">
            <w:pPr>
              <w:jc w:val="center"/>
              <w:rPr>
                <w:rFonts w:hint="eastAsia" w:ascii="宋体" w:hAnsi="宋体" w:eastAsia="宋体" w:cs="宋体"/>
                <w:i w:val="0"/>
                <w:iCs w:val="0"/>
                <w:color w:val="000000"/>
                <w:sz w:val="22"/>
                <w:szCs w:val="22"/>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CC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台（套）</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DA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D53C">
            <w:pPr>
              <w:jc w:val="center"/>
              <w:rPr>
                <w:rFonts w:hint="eastAsia" w:ascii="宋体" w:hAnsi="宋体" w:eastAsia="宋体" w:cs="宋体"/>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4014B">
            <w:pPr>
              <w:jc w:val="center"/>
              <w:rPr>
                <w:rFonts w:hint="eastAsia" w:ascii="宋体" w:hAnsi="宋体" w:eastAsia="宋体" w:cs="宋体"/>
                <w:i w:val="0"/>
                <w:iCs w:val="0"/>
                <w:color w:val="000000"/>
                <w:sz w:val="22"/>
                <w:szCs w:val="22"/>
                <w:u w:val="none"/>
              </w:rPr>
            </w:pPr>
          </w:p>
        </w:tc>
      </w:tr>
      <w:tr w14:paraId="200C0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95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D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核酸提取或纯化试剂</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348E2">
            <w:pPr>
              <w:jc w:val="center"/>
              <w:rPr>
                <w:rFonts w:hint="eastAsia" w:ascii="宋体" w:hAnsi="宋体" w:eastAsia="宋体" w:cs="宋体"/>
                <w:i w:val="0"/>
                <w:iCs w:val="0"/>
                <w:color w:val="000000"/>
                <w:sz w:val="22"/>
                <w:szCs w:val="22"/>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0F350">
            <w:pPr>
              <w:jc w:val="center"/>
              <w:rPr>
                <w:rFonts w:hint="eastAsia" w:ascii="宋体" w:hAnsi="宋体" w:eastAsia="宋体" w:cs="宋体"/>
                <w:i w:val="0"/>
                <w:iCs w:val="0"/>
                <w:color w:val="000000"/>
                <w:sz w:val="22"/>
                <w:szCs w:val="22"/>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8919D">
            <w:pPr>
              <w:jc w:val="center"/>
              <w:rPr>
                <w:rFonts w:hint="eastAsia" w:ascii="宋体" w:hAnsi="宋体" w:eastAsia="宋体" w:cs="宋体"/>
                <w:i w:val="0"/>
                <w:iCs w:val="0"/>
                <w:color w:val="000000"/>
                <w:sz w:val="22"/>
                <w:szCs w:val="22"/>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1A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测试（人份）</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DD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3DF9">
            <w:pPr>
              <w:jc w:val="center"/>
              <w:rPr>
                <w:rFonts w:hint="eastAsia" w:ascii="宋体" w:hAnsi="宋体" w:eastAsia="宋体" w:cs="宋体"/>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8F96D">
            <w:pPr>
              <w:jc w:val="center"/>
              <w:rPr>
                <w:rFonts w:hint="eastAsia" w:ascii="宋体" w:hAnsi="宋体" w:eastAsia="宋体" w:cs="宋体"/>
                <w:i w:val="0"/>
                <w:iCs w:val="0"/>
                <w:color w:val="000000"/>
                <w:sz w:val="22"/>
                <w:szCs w:val="22"/>
                <w:u w:val="none"/>
              </w:rPr>
            </w:pPr>
          </w:p>
        </w:tc>
      </w:tr>
      <w:tr w14:paraId="2F56F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5C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F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测序反应通用试剂盒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1A9A">
            <w:pPr>
              <w:jc w:val="center"/>
              <w:rPr>
                <w:rFonts w:hint="eastAsia" w:ascii="宋体" w:hAnsi="宋体" w:eastAsia="宋体" w:cs="宋体"/>
                <w:i w:val="0"/>
                <w:iCs w:val="0"/>
                <w:color w:val="000000"/>
                <w:sz w:val="22"/>
                <w:szCs w:val="22"/>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46F0">
            <w:pPr>
              <w:jc w:val="center"/>
              <w:rPr>
                <w:rFonts w:hint="eastAsia" w:ascii="宋体" w:hAnsi="宋体" w:eastAsia="宋体" w:cs="宋体"/>
                <w:i w:val="0"/>
                <w:iCs w:val="0"/>
                <w:color w:val="000000"/>
                <w:sz w:val="22"/>
                <w:szCs w:val="22"/>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88DE3">
            <w:pPr>
              <w:jc w:val="center"/>
              <w:rPr>
                <w:rFonts w:hint="eastAsia" w:ascii="宋体" w:hAnsi="宋体" w:eastAsia="宋体" w:cs="宋体"/>
                <w:i w:val="0"/>
                <w:iCs w:val="0"/>
                <w:color w:val="000000"/>
                <w:sz w:val="22"/>
                <w:szCs w:val="22"/>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B8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测试（人份）</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92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9B76">
            <w:pPr>
              <w:jc w:val="center"/>
              <w:rPr>
                <w:rFonts w:hint="eastAsia" w:ascii="宋体" w:hAnsi="宋体" w:eastAsia="宋体" w:cs="宋体"/>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F9BF5">
            <w:pPr>
              <w:jc w:val="center"/>
              <w:rPr>
                <w:rFonts w:hint="eastAsia" w:ascii="宋体" w:hAnsi="宋体" w:eastAsia="宋体" w:cs="宋体"/>
                <w:i w:val="0"/>
                <w:iCs w:val="0"/>
                <w:color w:val="000000"/>
                <w:sz w:val="22"/>
                <w:szCs w:val="22"/>
                <w:u w:val="none"/>
              </w:rPr>
            </w:pPr>
          </w:p>
        </w:tc>
      </w:tr>
      <w:tr w14:paraId="2D30F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50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F1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人EGFR/KRAS/BRAF/HER2/ALK/ROS1基因突变检测试剂盒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7CEB">
            <w:pPr>
              <w:jc w:val="center"/>
              <w:rPr>
                <w:rFonts w:hint="eastAsia" w:ascii="宋体" w:hAnsi="宋体" w:eastAsia="宋体" w:cs="宋体"/>
                <w:i w:val="0"/>
                <w:iCs w:val="0"/>
                <w:color w:val="000000"/>
                <w:sz w:val="22"/>
                <w:szCs w:val="22"/>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39114">
            <w:pPr>
              <w:jc w:val="center"/>
              <w:rPr>
                <w:rFonts w:hint="eastAsia" w:ascii="宋体" w:hAnsi="宋体" w:eastAsia="宋体" w:cs="宋体"/>
                <w:i w:val="0"/>
                <w:iCs w:val="0"/>
                <w:color w:val="000000"/>
                <w:sz w:val="22"/>
                <w:szCs w:val="22"/>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D889">
            <w:pPr>
              <w:jc w:val="center"/>
              <w:rPr>
                <w:rFonts w:hint="eastAsia" w:ascii="宋体" w:hAnsi="宋体" w:eastAsia="宋体" w:cs="宋体"/>
                <w:i w:val="0"/>
                <w:iCs w:val="0"/>
                <w:color w:val="000000"/>
                <w:sz w:val="22"/>
                <w:szCs w:val="22"/>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D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测试（人份）</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5E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7158">
            <w:pPr>
              <w:jc w:val="center"/>
              <w:rPr>
                <w:rFonts w:hint="eastAsia" w:ascii="宋体" w:hAnsi="宋体" w:eastAsia="宋体" w:cs="宋体"/>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CF491">
            <w:pPr>
              <w:jc w:val="center"/>
              <w:rPr>
                <w:rFonts w:hint="eastAsia" w:ascii="宋体" w:hAnsi="宋体" w:eastAsia="宋体" w:cs="宋体"/>
                <w:i w:val="0"/>
                <w:iCs w:val="0"/>
                <w:color w:val="000000"/>
                <w:sz w:val="22"/>
                <w:szCs w:val="22"/>
                <w:u w:val="none"/>
              </w:rPr>
            </w:pPr>
          </w:p>
        </w:tc>
      </w:tr>
      <w:tr w14:paraId="67666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F04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E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人类8基因突变联合检测试剂盒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2154">
            <w:pPr>
              <w:jc w:val="center"/>
              <w:rPr>
                <w:rFonts w:hint="eastAsia" w:ascii="宋体" w:hAnsi="宋体" w:eastAsia="宋体" w:cs="宋体"/>
                <w:i w:val="0"/>
                <w:iCs w:val="0"/>
                <w:color w:val="000000"/>
                <w:sz w:val="22"/>
                <w:szCs w:val="22"/>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10491">
            <w:pPr>
              <w:jc w:val="center"/>
              <w:rPr>
                <w:rFonts w:hint="eastAsia" w:ascii="宋体" w:hAnsi="宋体" w:eastAsia="宋体" w:cs="宋体"/>
                <w:i w:val="0"/>
                <w:iCs w:val="0"/>
                <w:color w:val="000000"/>
                <w:sz w:val="22"/>
                <w:szCs w:val="22"/>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808D2">
            <w:pPr>
              <w:jc w:val="center"/>
              <w:rPr>
                <w:rFonts w:hint="eastAsia" w:ascii="宋体" w:hAnsi="宋体" w:eastAsia="宋体" w:cs="宋体"/>
                <w:i w:val="0"/>
                <w:iCs w:val="0"/>
                <w:color w:val="000000"/>
                <w:sz w:val="22"/>
                <w:szCs w:val="22"/>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71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测试（人份）</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72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A2F7">
            <w:pPr>
              <w:jc w:val="center"/>
              <w:rPr>
                <w:rFonts w:hint="eastAsia" w:ascii="宋体" w:hAnsi="宋体" w:eastAsia="宋体" w:cs="宋体"/>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E5884">
            <w:pPr>
              <w:jc w:val="center"/>
              <w:rPr>
                <w:rFonts w:hint="eastAsia" w:ascii="宋体" w:hAnsi="宋体" w:eastAsia="宋体" w:cs="宋体"/>
                <w:i w:val="0"/>
                <w:iCs w:val="0"/>
                <w:color w:val="000000"/>
                <w:sz w:val="22"/>
                <w:szCs w:val="22"/>
                <w:u w:val="none"/>
              </w:rPr>
            </w:pPr>
          </w:p>
        </w:tc>
      </w:tr>
      <w:tr w14:paraId="12679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C9D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B5B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核酸提取或纯化试剂</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A038">
            <w:pPr>
              <w:jc w:val="center"/>
              <w:rPr>
                <w:rFonts w:hint="eastAsia" w:ascii="宋体" w:hAnsi="宋体" w:eastAsia="宋体" w:cs="宋体"/>
                <w:i w:val="0"/>
                <w:iCs w:val="0"/>
                <w:color w:val="000000"/>
                <w:sz w:val="22"/>
                <w:szCs w:val="22"/>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0D1D1">
            <w:pPr>
              <w:jc w:val="center"/>
              <w:rPr>
                <w:rFonts w:hint="eastAsia" w:ascii="宋体" w:hAnsi="宋体" w:eastAsia="宋体" w:cs="宋体"/>
                <w:i w:val="0"/>
                <w:iCs w:val="0"/>
                <w:color w:val="000000"/>
                <w:sz w:val="22"/>
                <w:szCs w:val="22"/>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79CD9">
            <w:pPr>
              <w:jc w:val="center"/>
              <w:rPr>
                <w:rFonts w:hint="eastAsia" w:ascii="宋体" w:hAnsi="宋体" w:eastAsia="宋体" w:cs="宋体"/>
                <w:i w:val="0"/>
                <w:iCs w:val="0"/>
                <w:color w:val="000000"/>
                <w:sz w:val="22"/>
                <w:szCs w:val="22"/>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65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测试（人份）</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F0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C5E0">
            <w:pPr>
              <w:jc w:val="center"/>
              <w:rPr>
                <w:rFonts w:hint="eastAsia" w:ascii="宋体" w:hAnsi="宋体" w:eastAsia="宋体" w:cs="宋体"/>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C872A">
            <w:pPr>
              <w:jc w:val="center"/>
              <w:rPr>
                <w:rFonts w:hint="eastAsia" w:ascii="宋体" w:hAnsi="宋体" w:eastAsia="宋体" w:cs="宋体"/>
                <w:i w:val="0"/>
                <w:iCs w:val="0"/>
                <w:color w:val="000000"/>
                <w:sz w:val="22"/>
                <w:szCs w:val="22"/>
                <w:u w:val="none"/>
              </w:rPr>
            </w:pPr>
          </w:p>
        </w:tc>
      </w:tr>
      <w:tr w14:paraId="28F0D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972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1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胎儿染色体非整倍体(T21、T18、T13)检测试剂盒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49D1">
            <w:pPr>
              <w:jc w:val="center"/>
              <w:rPr>
                <w:rFonts w:hint="eastAsia" w:ascii="宋体" w:hAnsi="宋体" w:eastAsia="宋体" w:cs="宋体"/>
                <w:i w:val="0"/>
                <w:iCs w:val="0"/>
                <w:color w:val="000000"/>
                <w:sz w:val="22"/>
                <w:szCs w:val="22"/>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54CD9">
            <w:pPr>
              <w:jc w:val="center"/>
              <w:rPr>
                <w:rFonts w:hint="eastAsia" w:ascii="宋体" w:hAnsi="宋体" w:eastAsia="宋体" w:cs="宋体"/>
                <w:i w:val="0"/>
                <w:iCs w:val="0"/>
                <w:color w:val="000000"/>
                <w:sz w:val="22"/>
                <w:szCs w:val="22"/>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56D3B">
            <w:pPr>
              <w:jc w:val="center"/>
              <w:rPr>
                <w:rFonts w:hint="eastAsia" w:ascii="宋体" w:hAnsi="宋体" w:eastAsia="宋体" w:cs="宋体"/>
                <w:i w:val="0"/>
                <w:iCs w:val="0"/>
                <w:color w:val="000000"/>
                <w:sz w:val="22"/>
                <w:szCs w:val="22"/>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A2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测试（人份）</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6B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5C5C">
            <w:pPr>
              <w:jc w:val="center"/>
              <w:rPr>
                <w:rFonts w:hint="eastAsia" w:ascii="宋体" w:hAnsi="宋体" w:eastAsia="宋体" w:cs="宋体"/>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1F39F">
            <w:pPr>
              <w:jc w:val="center"/>
              <w:rPr>
                <w:rFonts w:hint="eastAsia" w:ascii="宋体" w:hAnsi="宋体" w:eastAsia="宋体" w:cs="宋体"/>
                <w:i w:val="0"/>
                <w:iCs w:val="0"/>
                <w:color w:val="000000"/>
                <w:sz w:val="22"/>
                <w:szCs w:val="22"/>
                <w:u w:val="none"/>
              </w:rPr>
            </w:pPr>
          </w:p>
        </w:tc>
      </w:tr>
      <w:tr w14:paraId="43E89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67DE">
            <w:pPr>
              <w:jc w:val="center"/>
              <w:rPr>
                <w:rFonts w:hint="eastAsia" w:ascii="宋体" w:hAnsi="宋体" w:eastAsia="宋体" w:cs="宋体"/>
                <w:i w:val="0"/>
                <w:iCs w:val="0"/>
                <w:color w:val="000000"/>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C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B4F3">
            <w:pPr>
              <w:jc w:val="center"/>
              <w:rPr>
                <w:rFonts w:hint="eastAsia" w:ascii="宋体" w:hAnsi="宋体" w:eastAsia="宋体" w:cs="宋体"/>
                <w:i w:val="0"/>
                <w:iCs w:val="0"/>
                <w:color w:val="000000"/>
                <w:sz w:val="22"/>
                <w:szCs w:val="22"/>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763C">
            <w:pPr>
              <w:jc w:val="center"/>
              <w:rPr>
                <w:rFonts w:hint="eastAsia" w:ascii="宋体" w:hAnsi="宋体" w:eastAsia="宋体" w:cs="宋体"/>
                <w:i w:val="0"/>
                <w:iCs w:val="0"/>
                <w:color w:val="000000"/>
                <w:sz w:val="22"/>
                <w:szCs w:val="22"/>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5D164">
            <w:pPr>
              <w:jc w:val="center"/>
              <w:rPr>
                <w:rFonts w:hint="eastAsia" w:ascii="宋体" w:hAnsi="宋体" w:eastAsia="宋体" w:cs="宋体"/>
                <w:i w:val="0"/>
                <w:iCs w:val="0"/>
                <w:color w:val="000000"/>
                <w:sz w:val="22"/>
                <w:szCs w:val="22"/>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885A">
            <w:pPr>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AB036">
            <w:pPr>
              <w:jc w:val="center"/>
              <w:rPr>
                <w:rFonts w:hint="eastAsia" w:ascii="宋体" w:hAnsi="宋体" w:eastAsia="宋体" w:cs="宋体"/>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5B4A">
            <w:pPr>
              <w:jc w:val="center"/>
              <w:rPr>
                <w:rFonts w:hint="eastAsia" w:ascii="宋体" w:hAnsi="宋体" w:eastAsia="宋体" w:cs="宋体"/>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F0562">
            <w:pPr>
              <w:jc w:val="center"/>
              <w:rPr>
                <w:rFonts w:hint="eastAsia" w:ascii="宋体" w:hAnsi="宋体" w:eastAsia="宋体" w:cs="宋体"/>
                <w:i w:val="0"/>
                <w:iCs w:val="0"/>
                <w:color w:val="000000"/>
                <w:sz w:val="22"/>
                <w:szCs w:val="22"/>
                <w:u w:val="none"/>
              </w:rPr>
            </w:pPr>
          </w:p>
        </w:tc>
      </w:tr>
      <w:tr w14:paraId="621CD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958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8B00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备注：设备（耗材）名称或有差异，请按</w:t>
            </w:r>
            <w:r>
              <w:rPr>
                <w:rFonts w:hint="eastAsia" w:ascii="宋体" w:hAnsi="宋体" w:cs="宋体"/>
                <w:b/>
                <w:bCs/>
                <w:i w:val="0"/>
                <w:iCs w:val="0"/>
                <w:color w:val="000000"/>
                <w:kern w:val="0"/>
                <w:sz w:val="22"/>
                <w:szCs w:val="22"/>
                <w:u w:val="none"/>
                <w:lang w:val="en-US" w:eastAsia="zh-CN" w:bidi="ar"/>
              </w:rPr>
              <w:t>符合需求意向的</w:t>
            </w:r>
            <w:r>
              <w:rPr>
                <w:rFonts w:hint="eastAsia" w:ascii="宋体" w:hAnsi="宋体" w:eastAsia="宋体" w:cs="宋体"/>
                <w:b/>
                <w:bCs/>
                <w:i w:val="0"/>
                <w:iCs w:val="0"/>
                <w:color w:val="000000"/>
                <w:kern w:val="0"/>
                <w:sz w:val="22"/>
                <w:szCs w:val="22"/>
                <w:u w:val="none"/>
                <w:lang w:val="en-US" w:eastAsia="zh-CN" w:bidi="ar"/>
              </w:rPr>
              <w:t>品牌</w:t>
            </w:r>
            <w:r>
              <w:rPr>
                <w:rFonts w:hint="eastAsia" w:ascii="宋体" w:hAnsi="宋体" w:cs="宋体"/>
                <w:b/>
                <w:bCs/>
                <w:i w:val="0"/>
                <w:iCs w:val="0"/>
                <w:color w:val="000000"/>
                <w:kern w:val="0"/>
                <w:sz w:val="22"/>
                <w:szCs w:val="22"/>
                <w:u w:val="none"/>
                <w:lang w:val="en-US" w:eastAsia="zh-CN" w:bidi="ar"/>
              </w:rPr>
              <w:t>（厂家）的</w:t>
            </w:r>
            <w:r>
              <w:rPr>
                <w:rFonts w:hint="eastAsia" w:ascii="宋体" w:hAnsi="宋体" w:eastAsia="宋体" w:cs="宋体"/>
                <w:b/>
                <w:bCs/>
                <w:i w:val="0"/>
                <w:iCs w:val="0"/>
                <w:color w:val="000000"/>
                <w:kern w:val="0"/>
                <w:sz w:val="22"/>
                <w:szCs w:val="22"/>
                <w:u w:val="none"/>
                <w:lang w:val="en-US" w:eastAsia="zh-CN" w:bidi="ar"/>
              </w:rPr>
              <w:t>注册证名</w:t>
            </w:r>
            <w:r>
              <w:rPr>
                <w:rFonts w:hint="eastAsia" w:ascii="宋体" w:hAnsi="宋体" w:cs="宋体"/>
                <w:b/>
                <w:bCs/>
                <w:i w:val="0"/>
                <w:iCs w:val="0"/>
                <w:color w:val="000000"/>
                <w:kern w:val="0"/>
                <w:sz w:val="22"/>
                <w:szCs w:val="22"/>
                <w:u w:val="none"/>
                <w:lang w:val="en-US" w:eastAsia="zh-CN" w:bidi="ar"/>
              </w:rPr>
              <w:t>称</w:t>
            </w:r>
            <w:r>
              <w:rPr>
                <w:rFonts w:hint="eastAsia" w:ascii="宋体" w:hAnsi="宋体" w:eastAsia="宋体" w:cs="宋体"/>
                <w:b/>
                <w:bCs/>
                <w:i w:val="0"/>
                <w:iCs w:val="0"/>
                <w:color w:val="000000"/>
                <w:kern w:val="0"/>
                <w:sz w:val="22"/>
                <w:szCs w:val="22"/>
                <w:u w:val="none"/>
                <w:lang w:val="en-US" w:eastAsia="zh-CN" w:bidi="ar"/>
              </w:rPr>
              <w:t>填写。</w:t>
            </w:r>
          </w:p>
        </w:tc>
      </w:tr>
    </w:tbl>
    <w:p w14:paraId="164CB5FD">
      <w:pPr>
        <w:spacing w:before="156" w:beforeLines="50" w:line="240" w:lineRule="auto"/>
        <w:jc w:val="left"/>
        <w:rPr>
          <w:rFonts w:hint="default" w:ascii="宋体" w:hAnsi="宋体" w:cs="宋体"/>
          <w:b/>
          <w:bCs/>
          <w:i w:val="0"/>
          <w:iCs w:val="0"/>
          <w:caps w:val="0"/>
          <w:color w:val="333333"/>
          <w:spacing w:val="0"/>
          <w:sz w:val="28"/>
          <w:szCs w:val="28"/>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1"/>
    <w:multiLevelType w:val="multilevel"/>
    <w:tmpl w:val="0000000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2"/>
    <w:multiLevelType w:val="multilevel"/>
    <w:tmpl w:val="0000000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3"/>
    <w:multiLevelType w:val="multilevel"/>
    <w:tmpl w:val="0000000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4"/>
    <w:multiLevelType w:val="multilevel"/>
    <w:tmpl w:val="0000000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5"/>
    <w:multiLevelType w:val="multilevel"/>
    <w:tmpl w:val="0000000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6"/>
    <w:multiLevelType w:val="multilevel"/>
    <w:tmpl w:val="0000000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4"/>
  </w:num>
  <w:num w:numId="3">
    <w:abstractNumId w:val="2"/>
  </w:num>
  <w:num w:numId="4">
    <w:abstractNumId w:val="1"/>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3221A"/>
    <w:rsid w:val="0CEF6484"/>
    <w:rsid w:val="0F31493F"/>
    <w:rsid w:val="138E57B2"/>
    <w:rsid w:val="1A7013B9"/>
    <w:rsid w:val="1FB6797E"/>
    <w:rsid w:val="2E9F3E5F"/>
    <w:rsid w:val="36682268"/>
    <w:rsid w:val="399F3CD5"/>
    <w:rsid w:val="39EC1F0D"/>
    <w:rsid w:val="3C686BEF"/>
    <w:rsid w:val="493059F1"/>
    <w:rsid w:val="4AAE12AF"/>
    <w:rsid w:val="4C0A6B09"/>
    <w:rsid w:val="4F914E08"/>
    <w:rsid w:val="5ECE7D1A"/>
    <w:rsid w:val="61EB473F"/>
    <w:rsid w:val="64DE6678"/>
    <w:rsid w:val="6E9D3B7F"/>
    <w:rsid w:val="74724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rPr>
  </w:style>
  <w:style w:type="paragraph" w:styleId="3">
    <w:name w:val="Title"/>
    <w:basedOn w:val="1"/>
    <w:next w:val="1"/>
    <w:link w:val="9"/>
    <w:qFormat/>
    <w:uiPriority w:val="10"/>
    <w:pPr>
      <w:spacing w:before="240" w:after="60"/>
      <w:jc w:val="center"/>
      <w:outlineLvl w:val="0"/>
    </w:pPr>
    <w:rPr>
      <w:rFonts w:ascii="等线 Light" w:hAnsi="等线 Light" w:eastAsia="宋体" w:cs="Times New Roman"/>
      <w:b/>
      <w:bCs/>
      <w:sz w:val="32"/>
      <w:szCs w:val="32"/>
    </w:rPr>
  </w:style>
  <w:style w:type="paragraph" w:styleId="4">
    <w:name w:val="Body Text First Indent"/>
    <w:basedOn w:val="1"/>
    <w:next w:val="1"/>
    <w:qFormat/>
    <w:uiPriority w:val="99"/>
    <w:pPr>
      <w:tabs>
        <w:tab w:val="left" w:pos="180"/>
        <w:tab w:val="left" w:pos="1620"/>
      </w:tabs>
      <w:spacing w:after="120" w:line="275" w:lineRule="atLeast"/>
      <w:ind w:firstLine="420"/>
      <w:textAlignment w:val="baseline"/>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character" w:customStyle="1" w:styleId="9">
    <w:name w:val="标题 字符"/>
    <w:link w:val="3"/>
    <w:qFormat/>
    <w:uiPriority w:val="10"/>
    <w:rPr>
      <w:rFonts w:ascii="等线 Light" w:hAnsi="等线 Light" w:eastAsia="宋体"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1699</Words>
  <Characters>1875</Characters>
  <Paragraphs>127</Paragraphs>
  <TotalTime>17</TotalTime>
  <ScaleCrop>false</ScaleCrop>
  <LinksUpToDate>false</LinksUpToDate>
  <CharactersWithSpaces>1885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2024-03-07T06:59:00Z</dcterms:created>
  <dc:creator>user</dc:creator>
  <cp:lastModifiedBy>valxxxxx</cp:lastModifiedBy>
  <cp:lastPrinted>2024-11-27T01:38:00Z</cp:lastPrinted>
  <dcterms:modified xsi:type="dcterms:W3CDTF">2025-09-11T07:40:32Z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460B8FF236FA447DA2F503DC47B6992D_13</vt:lpwstr>
  </property>
  <property fmtid="{D5CDD505-2E9C-101B-9397-08002B2CF9AE}" pid="4" name="KSOTemplateDocerSaveRecord">
    <vt:lpwstr>eyJoZGlkIjoiYTgwNTczYzcwOGQyZjk4NDA2OGUyODM1MzQ2YjlkMGMiLCJ1c2VySWQiOiI1ODA3NzYzNDMifQ==</vt:lpwstr>
  </property>
</Properties>
</file>