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6033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医院</w:t>
      </w:r>
      <w:r>
        <w:rPr>
          <w:rFonts w:hint="eastAsia"/>
          <w:lang w:val="en-US" w:eastAsia="zh-CN"/>
        </w:rPr>
        <w:t>门急诊及功能区域</w:t>
      </w:r>
      <w:r>
        <w:rPr>
          <w:rFonts w:hint="eastAsia"/>
        </w:rPr>
        <w:t>无线网络接入服务</w:t>
      </w:r>
      <w:r>
        <w:rPr>
          <w:rFonts w:hint="eastAsia"/>
          <w:lang w:val="en-US" w:eastAsia="zh-CN"/>
        </w:rPr>
        <w:t>需求参数</w:t>
      </w:r>
    </w:p>
    <w:p w14:paraId="65FDA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网络覆盖要求</w:t>
      </w:r>
    </w:p>
    <w:p w14:paraId="313D9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信号强度：</w:t>
      </w:r>
      <w:r>
        <w:rPr>
          <w:rFonts w:hint="eastAsia"/>
          <w:sz w:val="24"/>
          <w:szCs w:val="24"/>
          <w:lang w:val="en-US" w:eastAsia="zh-CN"/>
        </w:rPr>
        <w:t>门诊楼1-4楼、体检中心楼1-3楼、食堂、高压氧2-3楼、老年医学中心大楼1-4楼及7楼、食堂外卖点</w:t>
      </w:r>
      <w:r>
        <w:rPr>
          <w:rFonts w:hint="eastAsia"/>
          <w:sz w:val="24"/>
          <w:szCs w:val="24"/>
        </w:rPr>
        <w:t>全区域信号</w:t>
      </w:r>
      <w:r>
        <w:rPr>
          <w:rFonts w:hint="eastAsia"/>
          <w:sz w:val="24"/>
          <w:szCs w:val="24"/>
          <w:lang w:val="en-US" w:eastAsia="zh-CN"/>
        </w:rPr>
        <w:t>覆盖。候诊区、就诊区、治疗区、排队区等人员密集区域信号</w:t>
      </w:r>
      <w:r>
        <w:rPr>
          <w:rFonts w:hint="eastAsia"/>
          <w:sz w:val="24"/>
          <w:szCs w:val="24"/>
        </w:rPr>
        <w:t>强度需≥-65dBm，</w:t>
      </w:r>
      <w:r>
        <w:rPr>
          <w:rFonts w:hint="eastAsia"/>
          <w:sz w:val="24"/>
          <w:szCs w:val="24"/>
          <w:lang w:val="en-US" w:eastAsia="zh-CN"/>
        </w:rPr>
        <w:t>其他楼层区域信号强度</w:t>
      </w:r>
      <w:r>
        <w:rPr>
          <w:rFonts w:hint="eastAsia"/>
          <w:sz w:val="24"/>
          <w:szCs w:val="24"/>
        </w:rPr>
        <w:t>需≥-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5dBm，重点区域（如立柱、墙体遮挡区）需通过高密度AP部署确保无死角覆盖。</w:t>
      </w:r>
    </w:p>
    <w:p w14:paraId="48981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部署密度：</w:t>
      </w:r>
      <w:r>
        <w:rPr>
          <w:rFonts w:hint="eastAsia"/>
          <w:sz w:val="24"/>
          <w:szCs w:val="24"/>
          <w:lang w:val="en-US" w:eastAsia="zh-CN"/>
        </w:rPr>
        <w:t>候诊区、就诊区、治疗区、排队区等人员密集区域</w:t>
      </w:r>
      <w:r>
        <w:rPr>
          <w:rFonts w:hint="eastAsia"/>
          <w:sz w:val="24"/>
          <w:szCs w:val="24"/>
        </w:rPr>
        <w:t>每50㎡至少配置1台双频AP（2.4GHz/5GHz），需额外预留20%冗余容量</w:t>
      </w:r>
      <w:r>
        <w:rPr>
          <w:rFonts w:hint="eastAsia"/>
          <w:sz w:val="24"/>
          <w:szCs w:val="24"/>
          <w:lang w:eastAsia="zh-CN"/>
        </w:rPr>
        <w:t>。</w:t>
      </w:r>
    </w:p>
    <w:p w14:paraId="5D6E5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带宽与速率</w:t>
      </w:r>
    </w:p>
    <w:p w14:paraId="7811E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1、互联网宽带资源由中标服务商提供，在满配用户并发情况下，热点区域（如治疗区、候诊区、排队区等）应能保障每个用户获得不低于10Mbps 的最低保证带宽，且AP上行链路带宽总和需满足该区域总带宽需求不低于300Mbps。</w:t>
      </w:r>
    </w:p>
    <w:p w14:paraId="0795A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并发能力：单AP支持≥</w:t>
      </w:r>
      <w:r>
        <w:rPr>
          <w:rFonts w:hint="eastAsia"/>
          <w:sz w:val="24"/>
          <w:szCs w:val="24"/>
          <w:lang w:val="en-US" w:eastAsia="zh-CN"/>
        </w:rPr>
        <w:t>50</w:t>
      </w:r>
      <w:r>
        <w:rPr>
          <w:rFonts w:hint="eastAsia"/>
          <w:sz w:val="24"/>
          <w:szCs w:val="24"/>
        </w:rPr>
        <w:t>用户接入，高峰时段需承载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00+人次在线。</w:t>
      </w:r>
    </w:p>
    <w:p w14:paraId="4BB1D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延迟与稳定性</w:t>
      </w:r>
    </w:p>
    <w:p w14:paraId="3E52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基础应用（网页浏览、自助服务）端到端延迟≤50ms，视频播放等应用丢包率≤1%。</w:t>
      </w:r>
    </w:p>
    <w:p w14:paraId="7558C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支持无缝漫游切换，避免患者移动时连接中断。</w:t>
      </w:r>
    </w:p>
    <w:p w14:paraId="3DBDA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eastAsia"/>
          <w:sz w:val="24"/>
          <w:szCs w:val="24"/>
        </w:rPr>
        <w:t>服务保障</w:t>
      </w:r>
    </w:p>
    <w:p w14:paraId="0B309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7×24小时技术支持，故障响应时间≤30分钟，网络可用性≥99.9%</w:t>
      </w:r>
      <w:r>
        <w:rPr>
          <w:rFonts w:hint="eastAsia"/>
          <w:sz w:val="24"/>
          <w:szCs w:val="24"/>
          <w:lang w:eastAsia="zh-CN"/>
        </w:rPr>
        <w:t>。</w:t>
      </w:r>
    </w:p>
    <w:p w14:paraId="2B8EC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2、部署安全系统，</w:t>
      </w:r>
      <w:r>
        <w:rPr>
          <w:rFonts w:hint="eastAsia"/>
          <w:sz w:val="24"/>
          <w:szCs w:val="24"/>
        </w:rPr>
        <w:t>实时拦截异常访问（如恶意攻击、非法热点）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防止数据窃取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保护病人隐私。</w:t>
      </w:r>
    </w:p>
    <w:p w14:paraId="5519C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提供多语言操作指引（手册、视频教程），降低患者使用难度</w:t>
      </w:r>
      <w:r>
        <w:rPr>
          <w:rFonts w:hint="eastAsia"/>
          <w:sz w:val="24"/>
          <w:szCs w:val="24"/>
          <w:lang w:eastAsia="zh-CN"/>
        </w:rPr>
        <w:t>。</w:t>
      </w:r>
    </w:p>
    <w:p w14:paraId="1D19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4、定期生成带宽及设备使用报告。</w:t>
      </w:r>
    </w:p>
    <w:p w14:paraId="79A17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五、其他要求</w:t>
      </w:r>
    </w:p>
    <w:p w14:paraId="24D6A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1、设备电费需由服务供应商提供，用电设备需提供安装独立电表。</w:t>
      </w:r>
    </w:p>
    <w:p w14:paraId="17178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2、项目参数包含商务条款。</w:t>
      </w:r>
    </w:p>
    <w:p w14:paraId="1A140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六、报价要求</w:t>
      </w:r>
    </w:p>
    <w:p w14:paraId="700D5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项目报价需含2025年度费用及2026年度预算费用。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B330C"/>
    <w:rsid w:val="091C1963"/>
    <w:rsid w:val="213402A1"/>
    <w:rsid w:val="28CF488C"/>
    <w:rsid w:val="2CAB330C"/>
    <w:rsid w:val="3AE60940"/>
    <w:rsid w:val="3E3C34CE"/>
    <w:rsid w:val="5ECD3A9E"/>
    <w:rsid w:val="61E34126"/>
    <w:rsid w:val="6D9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688</Characters>
  <Lines>0</Lines>
  <Paragraphs>0</Paragraphs>
  <TotalTime>4</TotalTime>
  <ScaleCrop>false</ScaleCrop>
  <LinksUpToDate>false</LinksUpToDate>
  <CharactersWithSpaces>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2025-04-24T09:39:00Z</dcterms:created>
  <dc:creator>魔羽魔罗</dc:creator>
  <cp:lastModifiedBy>魔羽魔罗</cp:lastModifiedBy>
  <dcterms:modified xsi:type="dcterms:W3CDTF">2025-08-25T12:33:54Z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7151A15E622742C9B4AF45612DE3BCA2_11</vt:lpwstr>
  </property>
  <property fmtid="{D5CDD505-2E9C-101B-9397-08002B2CF9AE}" pid="4" name="KSOTemplateDocerSaveRecord">
    <vt:lpwstr>eyJoZGlkIjoiNTMyNTNlZWRmYWI2YzY1ZTEyZmZiODZiYTk2ODZkNWUiLCJ1c2VySWQiOiIzMjY0NzE5In0=</vt:lpwstr>
  </property>
</Properties>
</file>