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3DC3A">
      <w:pPr>
        <w:spacing w:before="140" w:line="593" w:lineRule="exact"/>
        <w:ind w:left="189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截至</w:t>
      </w:r>
      <w:r>
        <w:rPr>
          <w:rFonts w:ascii="宋体" w:hAnsi="宋体" w:eastAsia="宋体" w:cs="宋体"/>
          <w:spacing w:val="-96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2024</w:t>
      </w:r>
      <w:r>
        <w:rPr>
          <w:rFonts w:ascii="宋体" w:hAnsi="宋体" w:eastAsia="宋体" w:cs="宋体"/>
          <w:spacing w:val="-94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年末发行的新增政府专项债券情况表</w:t>
      </w:r>
    </w:p>
    <w:p w14:paraId="4C387D41">
      <w:pPr>
        <w:spacing w:before="149"/>
      </w:pPr>
    </w:p>
    <w:tbl>
      <w:tblPr>
        <w:tblStyle w:val="6"/>
        <w:tblW w:w="126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11"/>
        <w:gridCol w:w="494"/>
        <w:gridCol w:w="546"/>
        <w:gridCol w:w="751"/>
        <w:gridCol w:w="751"/>
        <w:gridCol w:w="908"/>
        <w:gridCol w:w="935"/>
        <w:gridCol w:w="669"/>
        <w:gridCol w:w="734"/>
        <w:gridCol w:w="534"/>
        <w:gridCol w:w="855"/>
        <w:gridCol w:w="481"/>
        <w:gridCol w:w="838"/>
        <w:gridCol w:w="669"/>
        <w:gridCol w:w="721"/>
        <w:gridCol w:w="895"/>
        <w:gridCol w:w="764"/>
      </w:tblGrid>
      <w:tr w14:paraId="64453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top"/>
          </w:tcPr>
          <w:p w14:paraId="50982671">
            <w:pPr>
              <w:pStyle w:val="5"/>
              <w:spacing w:before="161" w:line="215" w:lineRule="auto"/>
              <w:ind w:left="665"/>
            </w:pPr>
            <w:r>
              <w:rPr>
                <w:spacing w:val="13"/>
              </w:rPr>
              <w:t>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门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4896" w:type="dxa"/>
            <w:gridSpan w:val="7"/>
            <w:vAlign w:val="top"/>
          </w:tcPr>
          <w:p w14:paraId="25FD85F5">
            <w:pPr>
              <w:pStyle w:val="5"/>
              <w:spacing w:before="39" w:line="218" w:lineRule="auto"/>
              <w:ind w:left="1973"/>
            </w:pPr>
            <w:r>
              <w:rPr>
                <w:spacing w:val="7"/>
              </w:rPr>
              <w:t>债券信息</w:t>
            </w:r>
          </w:p>
        </w:tc>
        <w:tc>
          <w:tcPr>
            <w:tcW w:w="6396" w:type="dxa"/>
            <w:gridSpan w:val="9"/>
            <w:vAlign w:val="top"/>
          </w:tcPr>
          <w:p w14:paraId="0BB70F45">
            <w:pPr>
              <w:pStyle w:val="5"/>
              <w:spacing w:before="39" w:line="218" w:lineRule="auto"/>
              <w:ind w:left="2487"/>
            </w:pPr>
            <w:r>
              <w:rPr>
                <w:spacing w:val="8"/>
              </w:rPr>
              <w:t>债券项目情况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003196E">
            <w:pPr>
              <w:spacing w:line="266" w:lineRule="auto"/>
              <w:rPr>
                <w:rFonts w:ascii="Arial"/>
                <w:sz w:val="21"/>
              </w:rPr>
            </w:pPr>
          </w:p>
          <w:p w14:paraId="392E1D3C">
            <w:pPr>
              <w:spacing w:line="266" w:lineRule="auto"/>
              <w:rPr>
                <w:rFonts w:ascii="Arial"/>
                <w:sz w:val="21"/>
              </w:rPr>
            </w:pPr>
          </w:p>
          <w:p w14:paraId="2B1F1E5D">
            <w:pPr>
              <w:spacing w:line="266" w:lineRule="auto"/>
              <w:rPr>
                <w:rFonts w:ascii="Arial"/>
                <w:sz w:val="21"/>
              </w:rPr>
            </w:pPr>
          </w:p>
          <w:p w14:paraId="751F0E81">
            <w:pPr>
              <w:spacing w:line="266" w:lineRule="auto"/>
              <w:rPr>
                <w:rFonts w:ascii="Arial"/>
                <w:sz w:val="21"/>
              </w:rPr>
            </w:pPr>
          </w:p>
          <w:p w14:paraId="50C3521D">
            <w:pPr>
              <w:spacing w:before="71" w:line="222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备注</w:t>
            </w:r>
          </w:p>
        </w:tc>
      </w:tr>
      <w:tr w14:paraId="1072A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790E8A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restart"/>
            <w:tcBorders>
              <w:bottom w:val="nil"/>
            </w:tcBorders>
            <w:textDirection w:val="tbRlV"/>
            <w:vAlign w:val="top"/>
          </w:tcPr>
          <w:p w14:paraId="7DA06979">
            <w:pPr>
              <w:pStyle w:val="5"/>
              <w:spacing w:before="134" w:line="215" w:lineRule="auto"/>
              <w:ind w:left="500"/>
            </w:pPr>
            <w:r>
              <w:rPr>
                <w:spacing w:val="13"/>
              </w:rPr>
              <w:t>债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textDirection w:val="tbRlV"/>
            <w:vAlign w:val="top"/>
          </w:tcPr>
          <w:p w14:paraId="00B2444A">
            <w:pPr>
              <w:pStyle w:val="5"/>
              <w:spacing w:before="125" w:line="215" w:lineRule="auto"/>
              <w:ind w:left="500"/>
            </w:pPr>
            <w:r>
              <w:rPr>
                <w:spacing w:val="13"/>
              </w:rPr>
              <w:t>债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编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码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textDirection w:val="tbRlV"/>
            <w:vAlign w:val="top"/>
          </w:tcPr>
          <w:p w14:paraId="6A23F4C5">
            <w:pPr>
              <w:pStyle w:val="5"/>
              <w:spacing w:before="152" w:line="214" w:lineRule="auto"/>
              <w:ind w:left="500"/>
            </w:pPr>
            <w:r>
              <w:rPr>
                <w:spacing w:val="13"/>
              </w:rPr>
              <w:t>债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券</w:t>
            </w:r>
            <w:r>
              <w:rPr>
                <w:spacing w:val="-49"/>
              </w:rPr>
              <w:t xml:space="preserve"> </w:t>
            </w:r>
            <w:r>
              <w:rPr>
                <w:spacing w:val="13"/>
              </w:rPr>
              <w:t>类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型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 w14:paraId="4A126363">
            <w:pPr>
              <w:spacing w:line="423" w:lineRule="auto"/>
              <w:rPr>
                <w:rFonts w:ascii="Arial"/>
                <w:sz w:val="21"/>
              </w:rPr>
            </w:pPr>
          </w:p>
          <w:p w14:paraId="01D6D49C">
            <w:pPr>
              <w:pStyle w:val="5"/>
              <w:spacing w:before="75" w:line="230" w:lineRule="auto"/>
              <w:ind w:left="139"/>
            </w:pPr>
            <w:r>
              <w:rPr>
                <w:spacing w:val="5"/>
              </w:rPr>
              <w:t>债券</w:t>
            </w:r>
          </w:p>
          <w:p w14:paraId="06EDD99F">
            <w:pPr>
              <w:pStyle w:val="5"/>
              <w:spacing w:before="25" w:line="231" w:lineRule="auto"/>
              <w:ind w:left="137"/>
            </w:pPr>
            <w:r>
              <w:rPr>
                <w:spacing w:val="6"/>
              </w:rPr>
              <w:t>规模</w:t>
            </w:r>
          </w:p>
          <w:p w14:paraId="4BC5EFDD">
            <w:pPr>
              <w:pStyle w:val="5"/>
              <w:spacing w:before="21" w:line="232" w:lineRule="auto"/>
              <w:ind w:left="160"/>
            </w:pPr>
            <w:r>
              <w:rPr>
                <w:spacing w:val="-7"/>
              </w:rPr>
              <w:t>（万</w:t>
            </w:r>
          </w:p>
          <w:p w14:paraId="566C1EC0">
            <w:pPr>
              <w:pStyle w:val="5"/>
              <w:spacing w:before="22" w:line="232" w:lineRule="auto"/>
              <w:ind w:left="145"/>
            </w:pPr>
            <w:r>
              <w:rPr>
                <w:spacing w:val="-7"/>
              </w:rPr>
              <w:t>元）</w:t>
            </w:r>
          </w:p>
        </w:tc>
        <w:tc>
          <w:tcPr>
            <w:tcW w:w="751" w:type="dxa"/>
            <w:vMerge w:val="restart"/>
            <w:tcBorders>
              <w:bottom w:val="nil"/>
            </w:tcBorders>
            <w:vAlign w:val="top"/>
          </w:tcPr>
          <w:p w14:paraId="07300AAF">
            <w:pPr>
              <w:spacing w:line="268" w:lineRule="auto"/>
              <w:rPr>
                <w:rFonts w:ascii="Arial"/>
                <w:sz w:val="21"/>
              </w:rPr>
            </w:pPr>
          </w:p>
          <w:p w14:paraId="41A47D6F">
            <w:pPr>
              <w:pStyle w:val="5"/>
              <w:spacing w:before="74" w:line="229" w:lineRule="auto"/>
              <w:ind w:left="141"/>
            </w:pPr>
            <w:r>
              <w:rPr>
                <w:spacing w:val="4"/>
              </w:rPr>
              <w:t>发行</w:t>
            </w:r>
          </w:p>
          <w:p w14:paraId="1D92269A">
            <w:pPr>
              <w:pStyle w:val="5"/>
              <w:spacing w:before="26" w:line="231" w:lineRule="auto"/>
              <w:ind w:left="147"/>
            </w:pPr>
            <w:r>
              <w:rPr>
                <w:spacing w:val="1"/>
              </w:rPr>
              <w:t>时间</w:t>
            </w:r>
          </w:p>
          <w:p w14:paraId="4FCCD6F9">
            <w:pPr>
              <w:pStyle w:val="5"/>
              <w:spacing w:before="21" w:line="252" w:lineRule="auto"/>
              <w:ind w:left="133" w:right="135" w:firstLine="26"/>
              <w:jc w:val="both"/>
            </w:pPr>
            <w:r>
              <w:rPr>
                <w:spacing w:val="-11"/>
              </w:rPr>
              <w:t>（年</w:t>
            </w:r>
            <w:r>
              <w:t xml:space="preserve"> </w:t>
            </w:r>
            <w:r>
              <w:rPr>
                <w:spacing w:val="5"/>
              </w:rPr>
              <w:t>/月/</w:t>
            </w:r>
            <w:r>
              <w:t xml:space="preserve"> </w:t>
            </w:r>
            <w:r>
              <w:rPr>
                <w:spacing w:val="-4"/>
              </w:rPr>
              <w:t>日）</w:t>
            </w:r>
          </w:p>
        </w:tc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16C20D84">
            <w:pPr>
              <w:spacing w:line="289" w:lineRule="auto"/>
              <w:rPr>
                <w:rFonts w:ascii="Arial"/>
                <w:sz w:val="21"/>
              </w:rPr>
            </w:pPr>
          </w:p>
          <w:p w14:paraId="4FD1F07F">
            <w:pPr>
              <w:spacing w:line="289" w:lineRule="auto"/>
              <w:rPr>
                <w:rFonts w:ascii="Arial"/>
                <w:sz w:val="21"/>
              </w:rPr>
            </w:pPr>
          </w:p>
          <w:p w14:paraId="42B92103">
            <w:pPr>
              <w:pStyle w:val="5"/>
              <w:spacing w:before="75" w:line="230" w:lineRule="auto"/>
              <w:ind w:left="218"/>
            </w:pPr>
            <w:r>
              <w:rPr>
                <w:spacing w:val="5"/>
              </w:rPr>
              <w:t>债券</w:t>
            </w:r>
          </w:p>
          <w:p w14:paraId="249824D6">
            <w:pPr>
              <w:pStyle w:val="5"/>
              <w:spacing w:before="24" w:line="230" w:lineRule="auto"/>
              <w:ind w:left="220"/>
            </w:pPr>
            <w:r>
              <w:rPr>
                <w:spacing w:val="4"/>
              </w:rPr>
              <w:t>利率</w:t>
            </w:r>
          </w:p>
          <w:p w14:paraId="02DD69C6">
            <w:pPr>
              <w:pStyle w:val="5"/>
              <w:spacing w:before="23" w:line="241" w:lineRule="auto"/>
              <w:ind w:left="179"/>
            </w:pPr>
            <w:r>
              <w:rPr>
                <w:spacing w:val="-6"/>
              </w:rPr>
              <w:t>（%）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A17AB14">
            <w:pPr>
              <w:spacing w:line="244" w:lineRule="auto"/>
              <w:rPr>
                <w:rFonts w:ascii="Arial"/>
                <w:sz w:val="21"/>
              </w:rPr>
            </w:pPr>
          </w:p>
          <w:p w14:paraId="65FC3609">
            <w:pPr>
              <w:spacing w:line="244" w:lineRule="auto"/>
              <w:rPr>
                <w:rFonts w:ascii="Arial"/>
                <w:sz w:val="21"/>
              </w:rPr>
            </w:pPr>
          </w:p>
          <w:p w14:paraId="28C9D0CD">
            <w:pPr>
              <w:spacing w:line="245" w:lineRule="auto"/>
              <w:rPr>
                <w:rFonts w:ascii="Arial"/>
                <w:sz w:val="21"/>
              </w:rPr>
            </w:pPr>
          </w:p>
          <w:p w14:paraId="01BC0141">
            <w:pPr>
              <w:pStyle w:val="5"/>
              <w:spacing w:before="75" w:line="250" w:lineRule="auto"/>
              <w:ind w:left="129" w:right="13" w:hanging="15"/>
            </w:pPr>
            <w:r>
              <w:rPr>
                <w:spacing w:val="6"/>
              </w:rPr>
              <w:t>债券期</w:t>
            </w:r>
            <w:r>
              <w:rPr>
                <w:spacing w:val="1"/>
              </w:rPr>
              <w:t xml:space="preserve"> </w:t>
            </w:r>
            <w:r>
              <w:rPr>
                <w:spacing w:val="-34"/>
              </w:rPr>
              <w:t>限（年）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 w14:paraId="3C6B1753">
            <w:pPr>
              <w:pStyle w:val="5"/>
              <w:spacing w:before="211" w:line="207" w:lineRule="auto"/>
              <w:ind w:left="500"/>
            </w:pPr>
            <w:r>
              <w:rPr>
                <w:spacing w:val="13"/>
              </w:rPr>
              <w:t>项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9"/>
                <w:position w:val="1"/>
              </w:rPr>
              <w:t xml:space="preserve"> </w:t>
            </w:r>
            <w:r>
              <w:rPr>
                <w:spacing w:val="13"/>
              </w:rPr>
              <w:t>名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称</w:t>
            </w:r>
          </w:p>
        </w:tc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 w14:paraId="5C3DD9B5">
            <w:pPr>
              <w:spacing w:line="423" w:lineRule="auto"/>
              <w:rPr>
                <w:rFonts w:ascii="Arial"/>
                <w:sz w:val="21"/>
              </w:rPr>
            </w:pPr>
          </w:p>
          <w:p w14:paraId="110F0427">
            <w:pPr>
              <w:pStyle w:val="5"/>
              <w:spacing w:before="75" w:line="230" w:lineRule="auto"/>
              <w:ind w:left="133"/>
            </w:pPr>
            <w:r>
              <w:rPr>
                <w:spacing w:val="5"/>
              </w:rPr>
              <w:t>债券</w:t>
            </w:r>
          </w:p>
          <w:p w14:paraId="3552B682">
            <w:pPr>
              <w:pStyle w:val="5"/>
              <w:spacing w:before="24" w:line="230" w:lineRule="auto"/>
              <w:ind w:left="133"/>
            </w:pPr>
            <w:r>
              <w:rPr>
                <w:spacing w:val="5"/>
              </w:rPr>
              <w:t>项目</w:t>
            </w:r>
          </w:p>
          <w:p w14:paraId="7BB7B04F">
            <w:pPr>
              <w:pStyle w:val="5"/>
              <w:spacing w:before="23" w:line="230" w:lineRule="auto"/>
              <w:ind w:left="141"/>
            </w:pPr>
            <w:r>
              <w:rPr>
                <w:spacing w:val="1"/>
              </w:rPr>
              <w:t>资产</w:t>
            </w:r>
          </w:p>
          <w:p w14:paraId="312EF942">
            <w:pPr>
              <w:pStyle w:val="5"/>
              <w:spacing w:before="25" w:line="229" w:lineRule="auto"/>
              <w:ind w:left="141"/>
            </w:pPr>
            <w:r>
              <w:rPr>
                <w:spacing w:val="1"/>
              </w:rPr>
              <w:t>类型</w:t>
            </w:r>
          </w:p>
        </w:tc>
        <w:tc>
          <w:tcPr>
            <w:tcW w:w="1389" w:type="dxa"/>
            <w:gridSpan w:val="2"/>
            <w:vAlign w:val="top"/>
          </w:tcPr>
          <w:p w14:paraId="3865EBE4">
            <w:pPr>
              <w:pStyle w:val="5"/>
              <w:spacing w:before="169" w:line="230" w:lineRule="auto"/>
              <w:ind w:left="222"/>
            </w:pPr>
            <w:r>
              <w:rPr>
                <w:spacing w:val="7"/>
              </w:rPr>
              <w:t>项目总投</w:t>
            </w:r>
          </w:p>
          <w:p w14:paraId="5A033659">
            <w:pPr>
              <w:pStyle w:val="5"/>
              <w:spacing w:before="23" w:line="230" w:lineRule="auto"/>
              <w:ind w:left="590"/>
            </w:pPr>
            <w:r>
              <w:t>资</w:t>
            </w:r>
          </w:p>
        </w:tc>
        <w:tc>
          <w:tcPr>
            <w:tcW w:w="1319" w:type="dxa"/>
            <w:gridSpan w:val="2"/>
            <w:vAlign w:val="top"/>
          </w:tcPr>
          <w:p w14:paraId="2434C110">
            <w:pPr>
              <w:pStyle w:val="5"/>
              <w:spacing w:before="169" w:line="230" w:lineRule="auto"/>
              <w:ind w:left="187"/>
            </w:pPr>
            <w:r>
              <w:rPr>
                <w:spacing w:val="7"/>
              </w:rPr>
              <w:t>项目已实</w:t>
            </w:r>
          </w:p>
          <w:p w14:paraId="1DF283C2">
            <w:pPr>
              <w:pStyle w:val="5"/>
              <w:spacing w:before="23" w:line="230" w:lineRule="auto"/>
              <w:ind w:left="307"/>
            </w:pPr>
            <w:r>
              <w:rPr>
                <w:spacing w:val="6"/>
              </w:rPr>
              <w:t>现投资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 w14:paraId="6C4BFBEA">
            <w:pPr>
              <w:pStyle w:val="5"/>
              <w:spacing w:before="211" w:line="207" w:lineRule="auto"/>
              <w:ind w:left="35"/>
            </w:pPr>
            <w:r>
              <w:rPr>
                <w:spacing w:val="13"/>
              </w:rPr>
              <w:t>已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</w:rPr>
              <w:t>取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得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项</w:t>
            </w:r>
            <w:r>
              <w:rPr>
                <w:spacing w:val="-46"/>
              </w:rPr>
              <w:t xml:space="preserve"> </w:t>
            </w:r>
            <w:r>
              <w:rPr>
                <w:spacing w:val="13"/>
                <w:position w:val="1"/>
              </w:rPr>
              <w:t>目</w:t>
            </w:r>
            <w:r>
              <w:rPr>
                <w:spacing w:val="-49"/>
                <w:position w:val="1"/>
              </w:rPr>
              <w:t xml:space="preserve"> </w:t>
            </w:r>
            <w:r>
              <w:rPr>
                <w:spacing w:val="13"/>
              </w:rPr>
              <w:t>收</w:t>
            </w:r>
            <w:r>
              <w:rPr>
                <w:spacing w:val="-47"/>
              </w:rPr>
              <w:t xml:space="preserve"> </w:t>
            </w:r>
            <w:r>
              <w:rPr>
                <w:spacing w:val="13"/>
              </w:rPr>
              <w:t>益</w:t>
            </w:r>
          </w:p>
        </w:tc>
        <w:tc>
          <w:tcPr>
            <w:tcW w:w="721" w:type="dxa"/>
            <w:vMerge w:val="restart"/>
            <w:tcBorders>
              <w:bottom w:val="nil"/>
            </w:tcBorders>
            <w:vAlign w:val="top"/>
          </w:tcPr>
          <w:p w14:paraId="15542E14">
            <w:pPr>
              <w:spacing w:line="289" w:lineRule="auto"/>
              <w:rPr>
                <w:rFonts w:ascii="Arial"/>
                <w:sz w:val="21"/>
              </w:rPr>
            </w:pPr>
          </w:p>
          <w:p w14:paraId="0DAC0FB0">
            <w:pPr>
              <w:spacing w:line="289" w:lineRule="auto"/>
              <w:rPr>
                <w:rFonts w:ascii="Arial"/>
                <w:sz w:val="21"/>
              </w:rPr>
            </w:pPr>
          </w:p>
          <w:p w14:paraId="62D68ECA">
            <w:pPr>
              <w:pStyle w:val="5"/>
              <w:spacing w:before="75" w:line="230" w:lineRule="auto"/>
              <w:ind w:left="130"/>
            </w:pPr>
            <w:r>
              <w:rPr>
                <w:spacing w:val="4"/>
              </w:rPr>
              <w:t>形成</w:t>
            </w:r>
          </w:p>
          <w:p w14:paraId="54D4E80B">
            <w:pPr>
              <w:pStyle w:val="5"/>
              <w:spacing w:before="24" w:line="230" w:lineRule="auto"/>
              <w:ind w:left="136"/>
            </w:pPr>
            <w:r>
              <w:rPr>
                <w:spacing w:val="1"/>
              </w:rPr>
              <w:t>资产</w:t>
            </w:r>
          </w:p>
          <w:p w14:paraId="3812C633">
            <w:pPr>
              <w:pStyle w:val="5"/>
              <w:spacing w:before="23" w:line="231" w:lineRule="auto"/>
              <w:ind w:left="125"/>
            </w:pPr>
            <w:r>
              <w:rPr>
                <w:spacing w:val="6"/>
              </w:rPr>
              <w:t>情况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047DBF06">
            <w:pPr>
              <w:spacing w:line="267" w:lineRule="auto"/>
              <w:rPr>
                <w:rFonts w:ascii="Arial"/>
                <w:sz w:val="21"/>
              </w:rPr>
            </w:pPr>
          </w:p>
          <w:p w14:paraId="2A752A00">
            <w:pPr>
              <w:pStyle w:val="5"/>
              <w:spacing w:before="75" w:line="230" w:lineRule="auto"/>
              <w:ind w:left="216"/>
            </w:pPr>
            <w:r>
              <w:rPr>
                <w:spacing w:val="5"/>
              </w:rPr>
              <w:t>建设</w:t>
            </w:r>
          </w:p>
          <w:p w14:paraId="4973A553">
            <w:pPr>
              <w:pStyle w:val="5"/>
              <w:spacing w:before="25" w:line="230" w:lineRule="auto"/>
              <w:ind w:left="214"/>
            </w:pPr>
            <w:r>
              <w:rPr>
                <w:spacing w:val="6"/>
              </w:rPr>
              <w:t>进度</w:t>
            </w:r>
          </w:p>
          <w:p w14:paraId="6FAAA8FC">
            <w:pPr>
              <w:pStyle w:val="5"/>
              <w:spacing w:before="23" w:line="233" w:lineRule="auto"/>
              <w:ind w:left="216"/>
            </w:pPr>
            <w:r>
              <w:rPr>
                <w:spacing w:val="5"/>
              </w:rPr>
              <w:t>及运</w:t>
            </w:r>
          </w:p>
          <w:p w14:paraId="1EAAA2EB">
            <w:pPr>
              <w:pStyle w:val="5"/>
              <w:spacing w:before="21" w:line="252" w:lineRule="auto"/>
              <w:ind w:left="338" w:right="202" w:hanging="117"/>
            </w:pPr>
            <w:r>
              <w:rPr>
                <w:spacing w:val="2"/>
              </w:rPr>
              <w:t>营情</w:t>
            </w:r>
            <w:r>
              <w:t xml:space="preserve"> 况</w:t>
            </w: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7622C56">
            <w:pPr>
              <w:rPr>
                <w:rFonts w:ascii="Arial"/>
                <w:sz w:val="21"/>
              </w:rPr>
            </w:pPr>
          </w:p>
        </w:tc>
      </w:tr>
      <w:tr w14:paraId="09F16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V"/>
            <w:vAlign w:val="top"/>
          </w:tcPr>
          <w:p w14:paraId="2C0F3085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</w:tcBorders>
            <w:textDirection w:val="tbRlV"/>
            <w:vAlign w:val="top"/>
          </w:tcPr>
          <w:p w14:paraId="6F517E9F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textDirection w:val="tbRlV"/>
            <w:vAlign w:val="top"/>
          </w:tcPr>
          <w:p w14:paraId="60BF2F9A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7C8D8D74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 w14:paraId="1EDC3C22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 w14:paraId="24BA72A7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7937BA9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A80F372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 w14:paraId="07DF7A9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 w14:paraId="17EDFA4A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1FB85C47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0133BCFF">
            <w:pPr>
              <w:pStyle w:val="5"/>
              <w:spacing w:before="52" w:line="249" w:lineRule="auto"/>
              <w:ind w:left="194" w:right="72" w:hanging="76"/>
            </w:pPr>
            <w:r>
              <w:rPr>
                <w:spacing w:val="-11"/>
              </w:rPr>
              <w:t>其中：</w:t>
            </w:r>
            <w:r>
              <w:t xml:space="preserve"> </w:t>
            </w:r>
            <w:r>
              <w:rPr>
                <w:spacing w:val="5"/>
              </w:rPr>
              <w:t>债券</w:t>
            </w:r>
          </w:p>
          <w:p w14:paraId="26B54026">
            <w:pPr>
              <w:pStyle w:val="5"/>
              <w:spacing w:line="229" w:lineRule="auto"/>
              <w:ind w:left="203"/>
            </w:pPr>
            <w:r>
              <w:rPr>
                <w:spacing w:val="1"/>
              </w:rPr>
              <w:t>资金</w:t>
            </w:r>
          </w:p>
          <w:p w14:paraId="51C45DCD">
            <w:pPr>
              <w:pStyle w:val="5"/>
              <w:spacing w:before="26" w:line="229" w:lineRule="auto"/>
              <w:ind w:left="204"/>
            </w:pPr>
            <w:r>
              <w:t>安排</w:t>
            </w:r>
          </w:p>
        </w:tc>
        <w:tc>
          <w:tcPr>
            <w:tcW w:w="481" w:type="dxa"/>
            <w:vAlign w:val="top"/>
          </w:tcPr>
          <w:p w14:paraId="20881D8B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7E23FC2E">
            <w:pPr>
              <w:pStyle w:val="5"/>
              <w:spacing w:before="52" w:line="249" w:lineRule="auto"/>
              <w:ind w:left="185" w:right="55" w:hanging="66"/>
            </w:pPr>
            <w:r>
              <w:rPr>
                <w:spacing w:val="-11"/>
              </w:rPr>
              <w:t>其中：</w:t>
            </w:r>
            <w:r>
              <w:t xml:space="preserve"> </w:t>
            </w:r>
            <w:r>
              <w:rPr>
                <w:spacing w:val="5"/>
              </w:rPr>
              <w:t>债券</w:t>
            </w:r>
          </w:p>
          <w:p w14:paraId="60055E97">
            <w:pPr>
              <w:pStyle w:val="5"/>
              <w:spacing w:line="229" w:lineRule="auto"/>
              <w:ind w:left="194"/>
            </w:pPr>
            <w:r>
              <w:rPr>
                <w:spacing w:val="1"/>
              </w:rPr>
              <w:t>资金</w:t>
            </w:r>
          </w:p>
          <w:p w14:paraId="7EB7F98A">
            <w:pPr>
              <w:pStyle w:val="5"/>
              <w:spacing w:before="26" w:line="229" w:lineRule="auto"/>
              <w:ind w:left="195"/>
            </w:pPr>
            <w:r>
              <w:t>安排</w:t>
            </w:r>
          </w:p>
        </w:tc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 w14:paraId="4409EEB0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</w:tcBorders>
            <w:vAlign w:val="top"/>
          </w:tcPr>
          <w:p w14:paraId="03ED00AE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1FA3282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D2623C8">
            <w:pPr>
              <w:rPr>
                <w:rFonts w:ascii="Arial"/>
                <w:sz w:val="21"/>
              </w:rPr>
            </w:pPr>
          </w:p>
        </w:tc>
      </w:tr>
      <w:tr w14:paraId="26737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568" w:type="dxa"/>
            <w:vAlign w:val="top"/>
          </w:tcPr>
          <w:p w14:paraId="54D0E3E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广西壮族自治区江滨医院</w:t>
            </w:r>
          </w:p>
        </w:tc>
        <w:tc>
          <w:tcPr>
            <w:tcW w:w="511" w:type="dxa"/>
            <w:vAlign w:val="top"/>
          </w:tcPr>
          <w:p w14:paraId="3E1EE2BC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2023年广西壮族自治区政府社会领域专项债券（二期）-2023年广西壮族自治区政府专项债券（十九期）</w:t>
            </w:r>
          </w:p>
        </w:tc>
        <w:tc>
          <w:tcPr>
            <w:tcW w:w="494" w:type="dxa"/>
            <w:vAlign w:val="top"/>
          </w:tcPr>
          <w:p w14:paraId="15FFFF67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2305963</w:t>
            </w:r>
          </w:p>
        </w:tc>
        <w:tc>
          <w:tcPr>
            <w:tcW w:w="546" w:type="dxa"/>
            <w:vAlign w:val="top"/>
          </w:tcPr>
          <w:p w14:paraId="4349E72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专项债券</w:t>
            </w:r>
          </w:p>
        </w:tc>
        <w:tc>
          <w:tcPr>
            <w:tcW w:w="751" w:type="dxa"/>
            <w:vAlign w:val="top"/>
          </w:tcPr>
          <w:p w14:paraId="5968CFF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10000</w:t>
            </w:r>
          </w:p>
        </w:tc>
        <w:tc>
          <w:tcPr>
            <w:tcW w:w="751" w:type="dxa"/>
            <w:vAlign w:val="top"/>
          </w:tcPr>
          <w:p w14:paraId="27E108F7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2023/8/22</w:t>
            </w:r>
          </w:p>
        </w:tc>
        <w:tc>
          <w:tcPr>
            <w:tcW w:w="908" w:type="dxa"/>
            <w:vAlign w:val="top"/>
          </w:tcPr>
          <w:p w14:paraId="422FB0D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2.99</w:t>
            </w:r>
          </w:p>
        </w:tc>
        <w:tc>
          <w:tcPr>
            <w:tcW w:w="935" w:type="dxa"/>
            <w:vAlign w:val="top"/>
          </w:tcPr>
          <w:p w14:paraId="589A64C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669" w:type="dxa"/>
            <w:vAlign w:val="top"/>
          </w:tcPr>
          <w:p w14:paraId="5C23A04C"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广西壮族自治区江滨医院老年医学中心大楼建设项目</w:t>
            </w:r>
          </w:p>
        </w:tc>
        <w:tc>
          <w:tcPr>
            <w:tcW w:w="734" w:type="dxa"/>
            <w:vAlign w:val="top"/>
          </w:tcPr>
          <w:p w14:paraId="23873274">
            <w:pPr>
              <w:spacing w:before="30" w:line="214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>医疗用房建设</w:t>
            </w:r>
          </w:p>
        </w:tc>
        <w:tc>
          <w:tcPr>
            <w:tcW w:w="534" w:type="dxa"/>
            <w:vAlign w:val="top"/>
          </w:tcPr>
          <w:p w14:paraId="289CD48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36742</w:t>
            </w:r>
          </w:p>
        </w:tc>
        <w:tc>
          <w:tcPr>
            <w:tcW w:w="855" w:type="dxa"/>
            <w:vAlign w:val="top"/>
          </w:tcPr>
          <w:p w14:paraId="3A316AA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25500</w:t>
            </w:r>
          </w:p>
        </w:tc>
        <w:tc>
          <w:tcPr>
            <w:tcW w:w="481" w:type="dxa"/>
            <w:vAlign w:val="top"/>
          </w:tcPr>
          <w:p w14:paraId="21554E0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27966.5</w:t>
            </w:r>
          </w:p>
        </w:tc>
        <w:tc>
          <w:tcPr>
            <w:tcW w:w="838" w:type="dxa"/>
            <w:vAlign w:val="top"/>
          </w:tcPr>
          <w:p w14:paraId="09C6236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20200</w:t>
            </w:r>
          </w:p>
        </w:tc>
        <w:tc>
          <w:tcPr>
            <w:tcW w:w="669" w:type="dxa"/>
            <w:vAlign w:val="top"/>
          </w:tcPr>
          <w:p w14:paraId="53333F10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721" w:type="dxa"/>
            <w:vAlign w:val="top"/>
          </w:tcPr>
          <w:p w14:paraId="0D8BCFB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895" w:type="dxa"/>
            <w:vAlign w:val="top"/>
          </w:tcPr>
          <w:p w14:paraId="4F9E4710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项目已顺利完工落成，等待科室陆续搬迁完成后投入使用。</w:t>
            </w:r>
          </w:p>
        </w:tc>
        <w:tc>
          <w:tcPr>
            <w:tcW w:w="764" w:type="dxa"/>
            <w:vAlign w:val="top"/>
          </w:tcPr>
          <w:p w14:paraId="69FB1D4E">
            <w:pPr>
              <w:rPr>
                <w:rFonts w:ascii="Arial"/>
                <w:sz w:val="21"/>
              </w:rPr>
            </w:pPr>
          </w:p>
        </w:tc>
      </w:tr>
      <w:tr w14:paraId="48B68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8" w:type="dxa"/>
            <w:vAlign w:val="top"/>
          </w:tcPr>
          <w:p w14:paraId="0CB7DFDE"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 w14:paraId="644DD396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 w14:paraId="6C3CBC4D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4EC307B4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 w14:paraId="53319983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 w14:paraId="5B2DE597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 w14:paraId="486F1765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E08BCCF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7879A96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20C355E0"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Align w:val="top"/>
          </w:tcPr>
          <w:p w14:paraId="3240EE7D">
            <w:pPr>
              <w:rPr>
                <w:rFonts w:ascii="Arial"/>
                <w:sz w:val="21"/>
              </w:rPr>
            </w:pPr>
          </w:p>
        </w:tc>
        <w:tc>
          <w:tcPr>
            <w:tcW w:w="855" w:type="dxa"/>
            <w:vAlign w:val="top"/>
          </w:tcPr>
          <w:p w14:paraId="4926E424"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 w14:paraId="3A08C115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vAlign w:val="top"/>
          </w:tcPr>
          <w:p w14:paraId="5C0566FC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044E07E8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76B6ED66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Align w:val="top"/>
          </w:tcPr>
          <w:p w14:paraId="579C523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99304A6">
            <w:pPr>
              <w:rPr>
                <w:rFonts w:ascii="Arial"/>
                <w:sz w:val="21"/>
              </w:rPr>
            </w:pPr>
          </w:p>
        </w:tc>
      </w:tr>
    </w:tbl>
    <w:p w14:paraId="712463F6">
      <w:pPr>
        <w:pStyle w:val="2"/>
        <w:spacing w:before="43"/>
        <w:ind w:left="27" w:firstLine="10"/>
        <w:rPr>
          <w:sz w:val="28"/>
          <w:szCs w:val="28"/>
        </w:rPr>
        <w:sectPr>
          <w:headerReference r:id="rId5" w:type="default"/>
          <w:footerReference r:id="rId6" w:type="default"/>
          <w:pgSz w:w="16838" w:h="11906"/>
          <w:pgMar w:top="2168" w:right="2096" w:bottom="1315" w:left="1965" w:header="1677" w:footer="951" w:gutter="0"/>
          <w:pgNumType w:fmt="decimal"/>
          <w:cols w:space="720" w:num="1"/>
        </w:sectPr>
      </w:pPr>
      <w:r>
        <w:rPr>
          <w:spacing w:val="-4"/>
          <w:sz w:val="28"/>
          <w:szCs w:val="28"/>
        </w:rPr>
        <w:t>注：本表由使用专项债券资金的部门逐笔填列后于每年</w:t>
      </w:r>
      <w:r>
        <w:rPr>
          <w:spacing w:val="-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>
        <w:rPr>
          <w:spacing w:val="-4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月底前公开</w:t>
      </w:r>
      <w:r>
        <w:rPr>
          <w:spacing w:val="-5"/>
          <w:sz w:val="28"/>
          <w:szCs w:val="28"/>
        </w:rPr>
        <w:t>，本次反映</w:t>
      </w:r>
      <w:r>
        <w:rPr>
          <w:spacing w:val="-5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2023-2024</w:t>
      </w:r>
      <w:r>
        <w:rPr>
          <w:spacing w:val="-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年末专项债券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及对应项目情况</w:t>
      </w:r>
      <w:bookmarkStart w:id="0" w:name="_GoBack"/>
      <w:bookmarkEnd w:id="0"/>
    </w:p>
    <w:p w14:paraId="61FCA488"/>
    <w:p w14:paraId="6E72FA34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C087">
    <w:pPr>
      <w:spacing w:line="233" w:lineRule="auto"/>
      <w:ind w:left="309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6BA57">
    <w:pPr>
      <w:spacing w:line="233" w:lineRule="auto"/>
      <w:ind w:left="30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C3175">
    <w:pPr>
      <w:spacing w:before="83" w:line="230" w:lineRule="auto"/>
      <w:ind w:left="4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</w:t>
    </w:r>
    <w:r>
      <w:rPr>
        <w:rFonts w:ascii="黑体" w:hAnsi="黑体" w:eastAsia="黑体" w:cs="黑体"/>
        <w:spacing w:val="-64"/>
        <w:sz w:val="31"/>
        <w:szCs w:val="31"/>
      </w:rPr>
      <w:t xml:space="preserve"> </w:t>
    </w:r>
    <w:r>
      <w:rPr>
        <w:rFonts w:ascii="黑体" w:hAnsi="黑体" w:eastAsia="黑体" w:cs="黑体"/>
        <w:spacing w:val="-4"/>
        <w:sz w:val="31"/>
        <w:szCs w:val="3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C3FE">
    <w:pPr>
      <w:spacing w:before="83" w:line="230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628D0"/>
    <w:rsid w:val="1956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2025-07-09T10:12:00Z</dcterms:created>
  <dc:creator>lsy</dc:creator>
  <cp:lastModifiedBy>lsy</cp:lastModifiedBy>
  <dcterms:modified xsi:type="dcterms:W3CDTF">2025-07-09T10:12:55Z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CFB9896EC1264F5DAAEB2391CEAE3607_11</vt:lpwstr>
  </property>
  <property fmtid="{D5CDD505-2E9C-101B-9397-08002B2CF9AE}" pid="4" name="KSOTemplateDocerSaveRecord">
    <vt:lpwstr>eyJoZGlkIjoiNWM0ZDJkZjVkNGVjMWM1MjU2ZDUyYjVjMDZmODlkMWUiLCJ1c2VySWQiOiI3MDM1MDE2NDUifQ==</vt:lpwstr>
  </property>
</Properties>
</file>