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8AF55">
      <w:pPr>
        <w:jc w:val="center"/>
        <w:rPr>
          <w:b/>
          <w:bCs/>
          <w:sz w:val="32"/>
          <w:szCs w:val="36"/>
        </w:rPr>
      </w:pPr>
      <w:r>
        <w:rPr>
          <w:rFonts w:hint="eastAsia"/>
          <w:b/>
          <w:bCs/>
          <w:sz w:val="32"/>
          <w:szCs w:val="36"/>
          <w:lang w:val="en-US" w:eastAsia="zh-CN"/>
        </w:rPr>
        <w:t>核心交换机</w:t>
      </w:r>
      <w:r>
        <w:rPr>
          <w:rFonts w:hint="eastAsia"/>
          <w:b/>
          <w:bCs/>
          <w:sz w:val="32"/>
          <w:szCs w:val="36"/>
        </w:rPr>
        <w:t>需求参数</w:t>
      </w:r>
    </w:p>
    <w:p w14:paraId="313955CA"/>
    <w:tbl>
      <w:tblPr>
        <w:tblStyle w:val="3"/>
        <w:tblW w:w="8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930"/>
        <w:gridCol w:w="5960"/>
        <w:gridCol w:w="785"/>
      </w:tblGrid>
      <w:tr w14:paraId="5DA1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6"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78E05CC7">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930" w:type="dxa"/>
            <w:tcBorders>
              <w:top w:val="single" w:color="auto" w:sz="4" w:space="0"/>
              <w:left w:val="single" w:color="auto" w:sz="4" w:space="0"/>
              <w:bottom w:val="single" w:color="auto" w:sz="4" w:space="0"/>
              <w:right w:val="single" w:color="auto" w:sz="4" w:space="0"/>
            </w:tcBorders>
            <w:vAlign w:val="center"/>
          </w:tcPr>
          <w:p w14:paraId="6C7E7319">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服务名称</w:t>
            </w:r>
          </w:p>
        </w:tc>
        <w:tc>
          <w:tcPr>
            <w:tcW w:w="5960" w:type="dxa"/>
            <w:tcBorders>
              <w:top w:val="single" w:color="auto" w:sz="4" w:space="0"/>
              <w:left w:val="single" w:color="auto" w:sz="4" w:space="0"/>
              <w:bottom w:val="single" w:color="auto" w:sz="4" w:space="0"/>
              <w:right w:val="single" w:color="auto" w:sz="4" w:space="0"/>
            </w:tcBorders>
            <w:vAlign w:val="center"/>
          </w:tcPr>
          <w:p w14:paraId="5866634A">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服务项目的具体内容和要求</w:t>
            </w:r>
          </w:p>
        </w:tc>
        <w:tc>
          <w:tcPr>
            <w:tcW w:w="785" w:type="dxa"/>
            <w:tcBorders>
              <w:top w:val="single" w:color="auto" w:sz="4" w:space="0"/>
              <w:left w:val="single" w:color="auto" w:sz="4" w:space="0"/>
              <w:bottom w:val="single" w:color="auto" w:sz="4" w:space="0"/>
              <w:right w:val="single" w:color="auto" w:sz="4" w:space="0"/>
            </w:tcBorders>
            <w:vAlign w:val="center"/>
          </w:tcPr>
          <w:p w14:paraId="74BDEB88">
            <w:pPr>
              <w:spacing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r>
      <w:tr w14:paraId="14091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DAD32E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30" w:type="dxa"/>
            <w:tcBorders>
              <w:top w:val="single" w:color="auto" w:sz="4" w:space="0"/>
              <w:left w:val="single" w:color="auto" w:sz="4" w:space="0"/>
              <w:bottom w:val="single" w:color="auto" w:sz="4" w:space="0"/>
              <w:right w:val="single" w:color="auto" w:sz="4" w:space="0"/>
            </w:tcBorders>
            <w:vAlign w:val="center"/>
          </w:tcPr>
          <w:p w14:paraId="711E123A">
            <w:p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核心交换机</w:t>
            </w:r>
          </w:p>
        </w:tc>
        <w:tc>
          <w:tcPr>
            <w:tcW w:w="5960" w:type="dxa"/>
            <w:tcBorders>
              <w:top w:val="single" w:color="auto" w:sz="4" w:space="0"/>
              <w:left w:val="single" w:color="auto" w:sz="4" w:space="0"/>
              <w:bottom w:val="single" w:color="auto" w:sz="4" w:space="0"/>
              <w:right w:val="single" w:color="auto" w:sz="4" w:space="0"/>
            </w:tcBorders>
            <w:vAlign w:val="center"/>
          </w:tcPr>
          <w:p w14:paraId="02F23F32">
            <w:pPr>
              <w:numPr>
                <w:ilvl w:val="0"/>
                <w:numId w:val="0"/>
              </w:num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硬件性能：交换容量≥1700Tbps，包转发率≥430000Mpps；</w:t>
            </w:r>
          </w:p>
          <w:p w14:paraId="4F7807F5">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、主控引擎、交换网板、业务板卡关键部件和芯片使用国产自主可控产品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提供第三方权威机构出具的检测报告证明</w:t>
            </w:r>
            <w:r>
              <w:rPr>
                <w:rFonts w:hint="eastAsia" w:ascii="仿宋_GB2312" w:hAnsi="仿宋_GB2312" w:eastAsia="仿宋_GB2312" w:cs="仿宋_GB2312"/>
                <w:sz w:val="28"/>
                <w:szCs w:val="28"/>
                <w:lang w:eastAsia="zh-CN"/>
              </w:rPr>
              <w:t>；</w:t>
            </w:r>
          </w:p>
          <w:p w14:paraId="74FDBEE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、硬件规格：标准通讯机柜尺寸，设备高度≤15U，设备深度≤600mm，采用正交无中板CLOS架构，支持主控、网板、风扇框、电源、电源总开关等关键器件冗余设计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独立交换网板槽位≥4</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，风扇框数≥2</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，电源槽位≥4</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w:t>
            </w:r>
          </w:p>
          <w:p w14:paraId="5773C7F2">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、硬件配置：配置双主控，交换网板≥</w:t>
            </w:r>
            <w:r>
              <w:rPr>
                <w:rFonts w:hint="eastAsia" w:ascii="仿宋_GB2312" w:hAnsi="仿宋_GB2312" w:eastAsia="仿宋_GB2312" w:cs="仿宋_GB2312"/>
                <w:sz w:val="28"/>
                <w:szCs w:val="28"/>
                <w:lang w:val="en-US" w:eastAsia="zh-CN"/>
              </w:rPr>
              <w:t>2个</w:t>
            </w:r>
            <w:r>
              <w:rPr>
                <w:rFonts w:hint="eastAsia" w:ascii="仿宋_GB2312" w:hAnsi="仿宋_GB2312" w:eastAsia="仿宋_GB2312" w:cs="仿宋_GB2312"/>
                <w:sz w:val="28"/>
                <w:szCs w:val="28"/>
              </w:rPr>
              <w:t>，千兆电口≥48</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，万兆光口≥56，40G/100G自适应速率光口≥12</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，交流电源模块≥4</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，风扇模块≥3</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，配置1根40G堆叠线缆；</w:t>
            </w:r>
          </w:p>
          <w:p w14:paraId="3ADAF145">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、高密度端口设计，单张业务卡最大可用万兆光口≥52个，单张业务卡最大可用100G光口≥12个，整机最大支持万兆光口≥416个，整机最大支持100G光口≥96个；</w:t>
            </w:r>
          </w:p>
          <w:p w14:paraId="7FDF9D6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、支持VxLAN多种方式接入 ，支持VxLAN二三层互通，支持基于IPv4/IPv6 Underlay的VxLAN三层集中式网关，支持VXLAN桥模式，VXLAN路由模式，支持MP-BGP EVPN；</w:t>
            </w:r>
          </w:p>
          <w:p w14:paraId="04E80493">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、支持N:1虚拟化：可将多台物理设备虚拟化为1台逻辑设备，虚拟组内设备具备统一的二层及三层转发表项，并可实现跨设备链路聚合；</w:t>
            </w:r>
          </w:p>
          <w:p w14:paraId="2427B35F">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、支持IPv4/IPv6静态路由，支持PIM-DM、PIM-SM、PIM-SSM等组播路由协议，包括RIP V1/V2、OSFPv2、ISISv4、BGP、RIPng、OSPFv3、ISISv6、BGP4+，支持ICMPv6转发；</w:t>
            </w:r>
          </w:p>
          <w:p w14:paraId="5CE71AD7">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、主控引擎支持集成硬件监控功能，能集中监控板卡、风扇、电源、环境</w:t>
            </w:r>
            <w:r>
              <w:rPr>
                <w:rFonts w:hint="eastAsia" w:ascii="仿宋_GB2312" w:hAnsi="仿宋_GB2312" w:eastAsia="仿宋_GB2312" w:cs="仿宋_GB2312"/>
                <w:sz w:val="28"/>
                <w:szCs w:val="28"/>
                <w:lang w:eastAsia="zh-CN"/>
              </w:rPr>
              <w:t>；</w:t>
            </w:r>
          </w:p>
          <w:p w14:paraId="5E367583">
            <w:p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10、支持与现有不同品牌的汇聚交换机、接入交换机实现兼容连接，包括不限于华为，新华三，锐捷，中兴，信锐、浪潮等品牌网络交换机，并与网络运维管理平台能实现终端准入管控功能及基础的网络管理功能。</w:t>
            </w:r>
          </w:p>
        </w:tc>
        <w:tc>
          <w:tcPr>
            <w:tcW w:w="785" w:type="dxa"/>
            <w:tcBorders>
              <w:top w:val="single" w:color="auto" w:sz="4" w:space="0"/>
              <w:left w:val="single" w:color="auto" w:sz="4" w:space="0"/>
              <w:bottom w:val="single" w:color="auto" w:sz="4" w:space="0"/>
              <w:right w:val="single" w:color="auto" w:sz="4" w:space="0"/>
            </w:tcBorders>
            <w:vAlign w:val="center"/>
          </w:tcPr>
          <w:p w14:paraId="0369CCA2">
            <w:pPr>
              <w:pStyle w:val="2"/>
              <w:spacing w:after="2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台</w:t>
            </w:r>
          </w:p>
        </w:tc>
      </w:tr>
      <w:tr w14:paraId="3BA3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7C6AE515">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930" w:type="dxa"/>
            <w:tcBorders>
              <w:top w:val="single" w:color="auto" w:sz="4" w:space="0"/>
              <w:left w:val="single" w:color="auto" w:sz="4" w:space="0"/>
              <w:bottom w:val="single" w:color="auto" w:sz="4" w:space="0"/>
              <w:right w:val="single" w:color="auto" w:sz="4" w:space="0"/>
            </w:tcBorders>
            <w:vAlign w:val="center"/>
          </w:tcPr>
          <w:p w14:paraId="730337C6">
            <w:pPr>
              <w:spacing w:line="400" w:lineRule="exact"/>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网络运维管理平台</w:t>
            </w:r>
          </w:p>
        </w:tc>
        <w:tc>
          <w:tcPr>
            <w:tcW w:w="5960" w:type="dxa"/>
            <w:tcBorders>
              <w:top w:val="single" w:color="auto" w:sz="4" w:space="0"/>
              <w:left w:val="single" w:color="auto" w:sz="4" w:space="0"/>
              <w:bottom w:val="single" w:color="auto" w:sz="4" w:space="0"/>
              <w:right w:val="single" w:color="auto" w:sz="4" w:space="0"/>
            </w:tcBorders>
            <w:vAlign w:val="center"/>
          </w:tcPr>
          <w:p w14:paraId="36B62DE6">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B/S架构管理平台，支持双机热备模式，支持</w:t>
            </w:r>
            <w:r>
              <w:rPr>
                <w:rFonts w:hint="eastAsia" w:ascii="仿宋_GB2312" w:hAnsi="仿宋_GB2312" w:eastAsia="仿宋_GB2312" w:cs="仿宋_GB2312"/>
                <w:sz w:val="28"/>
                <w:szCs w:val="28"/>
                <w:lang w:val="en-US" w:eastAsia="zh-CN"/>
              </w:rPr>
              <w:t>信创</w:t>
            </w:r>
            <w:r>
              <w:rPr>
                <w:rFonts w:hint="eastAsia" w:ascii="仿宋_GB2312" w:hAnsi="仿宋_GB2312" w:eastAsia="仿宋_GB2312" w:cs="仿宋_GB2312"/>
                <w:sz w:val="28"/>
                <w:szCs w:val="28"/>
              </w:rPr>
              <w:t>超融合虚拟化平台部署，配置有线交换机设备管理授权数≥300个，用网终端准入管理授权数≥2000个；</w:t>
            </w:r>
          </w:p>
          <w:p w14:paraId="1065BF85">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支持创建交换机的业务模板，支持图形化界面提前规划各端口业务；</w:t>
            </w:r>
          </w:p>
          <w:p w14:paraId="0C4BB946">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支持交换机零配置上线，根据不同区域的业务创建相应业务模板后，绑定设备区域位置信息，设备开箱上电后配置即可自动从软件下发，无需在接入设备端刷入配置；</w:t>
            </w:r>
          </w:p>
          <w:p w14:paraId="39C731DD">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支持通过excel批量导入、基于楼栋交换机端口两种方式绑定设备区域位置管理资产信息；</w:t>
            </w:r>
          </w:p>
          <w:p w14:paraId="6A351EA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故障交换机零配置替换，新设备上电后配置自动下发，无需手动配置，支持自适应不同型号间的设备替换，以及替换后新设备支持终端在任意端口接入，并且终端在原有设备接入端口的配置可自动跟随到新设备端口；</w:t>
            </w:r>
          </w:p>
          <w:p w14:paraId="327F9560">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支持显示IP地址内容包含接入位置+IP+MAC+状态+最近一次活跃时间；</w:t>
            </w:r>
          </w:p>
          <w:p w14:paraId="2D755F7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支持IP</w:t>
            </w:r>
            <w:r>
              <w:rPr>
                <w:rFonts w:hint="eastAsia" w:ascii="仿宋_GB2312" w:hAnsi="仿宋_GB2312" w:eastAsia="仿宋_GB2312" w:cs="仿宋_GB2312"/>
                <w:sz w:val="28"/>
                <w:szCs w:val="28"/>
                <w:lang w:val="en-US" w:eastAsia="zh-CN"/>
              </w:rPr>
              <w:t>v4和IPv6</w:t>
            </w:r>
            <w:r>
              <w:rPr>
                <w:rFonts w:hint="eastAsia" w:ascii="仿宋_GB2312" w:hAnsi="仿宋_GB2312" w:eastAsia="仿宋_GB2312" w:cs="仿宋_GB2312"/>
                <w:sz w:val="28"/>
                <w:szCs w:val="28"/>
              </w:rPr>
              <w:t>分配监控，实现显示IP地址的不同状态，包含冲突地址，分配地址，保留地址，不可分配地址；</w:t>
            </w:r>
          </w:p>
          <w:p w14:paraId="47FA71B2">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支持静态IP和动态IP地址界面化管理，包含已分配和可用IP地址界面化点阵图呈现；</w:t>
            </w:r>
          </w:p>
          <w:p w14:paraId="2A142B3D">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支持查看设备替换的历史记录(含端口配置迁移记录)；</w:t>
            </w:r>
          </w:p>
          <w:p w14:paraId="328BAEA2">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支持光模块与光链路运维检测与故障告警，并可在拓扑中呈现并查看详细信息，包括提供告警原因分析与处理建议；</w:t>
            </w:r>
          </w:p>
          <w:p w14:paraId="05C6B1B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支持在交换机上行链路断开、无法被网管软件发现纳管时，通过手持手机扫码一键拉取链路全部信息，无需逐点排查，快速定位是光模块还是光纤异常，并给出故障诊断及处理意见；</w:t>
            </w:r>
          </w:p>
          <w:p w14:paraId="64E7B07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支持拓扑运维，可以在拓扑上呈现：环路告警、离线告警、光链路告警；</w:t>
            </w:r>
          </w:p>
          <w:p w14:paraId="0ECC42A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支持根据采集的链路上的各设备的指标数据进行分析诊断，将源地址与目的地址之间的设备和链路情况可视化呈现；</w:t>
            </w:r>
          </w:p>
          <w:p w14:paraId="199E1522">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支持定位由于设备掉电、主干光纤断开、分支光纤断开原因导致光链路中断，实现光链路故障快速定界；</w:t>
            </w:r>
          </w:p>
          <w:p w14:paraId="3FD585F3">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支持通过列表方式对ODF信息进行管理，支持在拓扑上用户点击链路可以查看该物理链路由哪些ODF组成的；</w:t>
            </w:r>
          </w:p>
          <w:p w14:paraId="2EAE5518">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支持在电子地图和网络拓扑上即可快速查找设备位置，支持园区全景图、建筑楼层图的增、删、改、查操作；</w:t>
            </w:r>
          </w:p>
          <w:p w14:paraId="6FEC4CB4">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支持对巡检功能进行开关，支持巡检时间自定义，支持按天/周/月的指定时间进行周期性巡检，支持对巡检设备进行自定义</w:t>
            </w:r>
            <w:r>
              <w:rPr>
                <w:rFonts w:hint="eastAsia" w:ascii="仿宋_GB2312" w:hAnsi="仿宋_GB2312" w:eastAsia="仿宋_GB2312" w:cs="仿宋_GB2312"/>
                <w:sz w:val="28"/>
                <w:szCs w:val="28"/>
                <w:lang w:eastAsia="zh-CN"/>
              </w:rPr>
              <w:t>；</w:t>
            </w:r>
          </w:p>
          <w:p w14:paraId="5DB521EA">
            <w:pPr>
              <w:spacing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18、支持前端设备为不同品牌型号，在包括不限于华为、新华三、锐捷、中兴、信锐、浪潮等品牌的网络交换机设备基础上能实现终端安全准入功能及基础网络运维管理功能。</w:t>
            </w:r>
          </w:p>
        </w:tc>
        <w:tc>
          <w:tcPr>
            <w:tcW w:w="785" w:type="dxa"/>
            <w:tcBorders>
              <w:top w:val="single" w:color="auto" w:sz="4" w:space="0"/>
              <w:left w:val="single" w:color="auto" w:sz="4" w:space="0"/>
              <w:bottom w:val="single" w:color="auto" w:sz="4" w:space="0"/>
              <w:right w:val="single" w:color="auto" w:sz="4" w:space="0"/>
            </w:tcBorders>
            <w:vAlign w:val="center"/>
          </w:tcPr>
          <w:p w14:paraId="61964D6F">
            <w:pPr>
              <w:pStyle w:val="2"/>
              <w:spacing w:after="20" w:line="40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1套</w:t>
            </w:r>
          </w:p>
        </w:tc>
      </w:tr>
      <w:tr w14:paraId="471C0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4C6B268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30" w:type="dxa"/>
            <w:tcBorders>
              <w:top w:val="single" w:color="auto" w:sz="4" w:space="0"/>
              <w:left w:val="single" w:color="auto" w:sz="4" w:space="0"/>
              <w:bottom w:val="single" w:color="auto" w:sz="4" w:space="0"/>
              <w:right w:val="single" w:color="auto" w:sz="4" w:space="0"/>
            </w:tcBorders>
            <w:vAlign w:val="center"/>
          </w:tcPr>
          <w:p w14:paraId="3C3657B7">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技术服务</w:t>
            </w:r>
          </w:p>
        </w:tc>
        <w:tc>
          <w:tcPr>
            <w:tcW w:w="5960" w:type="dxa"/>
            <w:tcBorders>
              <w:top w:val="single" w:color="auto" w:sz="4" w:space="0"/>
              <w:left w:val="single" w:color="auto" w:sz="4" w:space="0"/>
              <w:bottom w:val="single" w:color="auto" w:sz="4" w:space="0"/>
              <w:right w:val="single" w:color="auto" w:sz="4" w:space="0"/>
            </w:tcBorders>
            <w:vAlign w:val="center"/>
          </w:tcPr>
          <w:p w14:paraId="64612EF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1、割接前调研原有核心交接机涉及的相关配置，连线，拓扑等信息，设计详细的割接方案，包括割接步骤、时间安排、风险评估和应对措施。</w:t>
            </w:r>
          </w:p>
          <w:p w14:paraId="3BF083C9">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2、在割接前对现有网络设备的数据进行备份，以防割接过程中出现数据丢失。</w:t>
            </w:r>
          </w:p>
          <w:p w14:paraId="5CE897BB">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3、按照割接方案进行实际操作，包括设备的更换、配置的更新、链路的调整等。</w:t>
            </w:r>
          </w:p>
          <w:p w14:paraId="03A88F7E">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4、割接完成后，进行全面的测试，验证网络的连通性、性能和稳定性，确保业务的正常运行。</w:t>
            </w:r>
          </w:p>
          <w:p w14:paraId="30DD442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5、文档记录：记录割接过程中的所有操作和测试结果，为今后的网络维护和管理提供参考。</w:t>
            </w:r>
          </w:p>
          <w:p w14:paraId="0A36C98B">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6、分析及观察割接后的网络运行情况，进行必要的优化调整，提升网络的性能和可靠性。</w:t>
            </w:r>
          </w:p>
        </w:tc>
        <w:tc>
          <w:tcPr>
            <w:tcW w:w="785" w:type="dxa"/>
            <w:tcBorders>
              <w:top w:val="single" w:color="auto" w:sz="4" w:space="0"/>
              <w:left w:val="single" w:color="auto" w:sz="4" w:space="0"/>
              <w:bottom w:val="single" w:color="auto" w:sz="4" w:space="0"/>
              <w:right w:val="single" w:color="auto" w:sz="4" w:space="0"/>
            </w:tcBorders>
            <w:vAlign w:val="center"/>
          </w:tcPr>
          <w:p w14:paraId="34A235D9">
            <w:pPr>
              <w:pStyle w:val="2"/>
              <w:spacing w:after="20" w:line="400" w:lineRule="exact"/>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1项</w:t>
            </w:r>
          </w:p>
        </w:tc>
      </w:tr>
      <w:tr w14:paraId="79C7B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028ECBE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vAlign w:val="center"/>
          </w:tcPr>
          <w:p w14:paraId="768EFE4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响应机制</w:t>
            </w:r>
          </w:p>
        </w:tc>
        <w:tc>
          <w:tcPr>
            <w:tcW w:w="5960" w:type="dxa"/>
            <w:tcBorders>
              <w:top w:val="single" w:color="auto" w:sz="4" w:space="0"/>
              <w:left w:val="single" w:color="auto" w:sz="4" w:space="0"/>
              <w:bottom w:val="single" w:color="auto" w:sz="4" w:space="0"/>
              <w:right w:val="single" w:color="auto" w:sz="4" w:space="0"/>
            </w:tcBorders>
            <w:vAlign w:val="center"/>
          </w:tcPr>
          <w:p w14:paraId="7BD2290E">
            <w:pPr>
              <w:pStyle w:val="2"/>
              <w:spacing w:after="2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处理问题响应时间必须提供7×24小时电话技术支持，包括邮件、电话、远程维护、现场服务等方式。并保证1个小时内对采购方的需求予以响应，若远程维护无法解决，4小时内到达现场。</w:t>
            </w:r>
          </w:p>
        </w:tc>
        <w:tc>
          <w:tcPr>
            <w:tcW w:w="785" w:type="dxa"/>
            <w:tcBorders>
              <w:top w:val="single" w:color="auto" w:sz="4" w:space="0"/>
              <w:left w:val="single" w:color="auto" w:sz="4" w:space="0"/>
              <w:bottom w:val="single" w:color="auto" w:sz="4" w:space="0"/>
              <w:right w:val="single" w:color="auto" w:sz="4" w:space="0"/>
            </w:tcBorders>
            <w:vAlign w:val="center"/>
          </w:tcPr>
          <w:p w14:paraId="1102DB3C">
            <w:pPr>
              <w:pStyle w:val="2"/>
              <w:spacing w:after="312" w:afterLines="10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w:t>
            </w:r>
          </w:p>
        </w:tc>
      </w:tr>
      <w:tr w14:paraId="4B0F1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14:paraId="335CCDA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30" w:type="dxa"/>
            <w:tcBorders>
              <w:top w:val="single" w:color="auto" w:sz="4" w:space="0"/>
              <w:left w:val="single" w:color="auto" w:sz="4" w:space="0"/>
              <w:bottom w:val="single" w:color="auto" w:sz="4" w:space="0"/>
              <w:right w:val="single" w:color="auto" w:sz="4" w:space="0"/>
            </w:tcBorders>
            <w:vAlign w:val="center"/>
          </w:tcPr>
          <w:p w14:paraId="77CA365E">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售后服务要求</w:t>
            </w:r>
          </w:p>
        </w:tc>
        <w:tc>
          <w:tcPr>
            <w:tcW w:w="5960" w:type="dxa"/>
            <w:tcBorders>
              <w:top w:val="single" w:color="auto" w:sz="4" w:space="0"/>
              <w:left w:val="single" w:color="auto" w:sz="4" w:space="0"/>
              <w:bottom w:val="single" w:color="auto" w:sz="4" w:space="0"/>
              <w:right w:val="single" w:color="auto" w:sz="4" w:space="0"/>
            </w:tcBorders>
            <w:vAlign w:val="center"/>
          </w:tcPr>
          <w:p w14:paraId="126E7865">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整机原厂维保≥</w:t>
            </w:r>
            <w:r>
              <w:rPr>
                <w:rFonts w:hint="eastAsia" w:ascii="仿宋_GB2312" w:hAnsi="仿宋_GB2312" w:eastAsia="仿宋_GB2312" w:cs="仿宋_GB2312"/>
                <w:b w:val="0"/>
                <w:bCs w:val="0"/>
                <w:color w:val="auto"/>
                <w:sz w:val="28"/>
                <w:szCs w:val="28"/>
              </w:rPr>
              <w:t>5年</w:t>
            </w:r>
            <w:r>
              <w:rPr>
                <w:rFonts w:hint="eastAsia" w:ascii="仿宋_GB2312" w:hAnsi="仿宋_GB2312" w:eastAsia="仿宋_GB2312" w:cs="仿宋_GB2312"/>
                <w:sz w:val="28"/>
                <w:szCs w:val="28"/>
              </w:rPr>
              <w:t>；</w:t>
            </w:r>
          </w:p>
        </w:tc>
        <w:tc>
          <w:tcPr>
            <w:tcW w:w="785" w:type="dxa"/>
            <w:tcBorders>
              <w:top w:val="single" w:color="auto" w:sz="4" w:space="0"/>
              <w:left w:val="single" w:color="auto" w:sz="4" w:space="0"/>
              <w:bottom w:val="single" w:color="auto" w:sz="4" w:space="0"/>
              <w:right w:val="single" w:color="auto" w:sz="4" w:space="0"/>
            </w:tcBorders>
            <w:vAlign w:val="center"/>
          </w:tcPr>
          <w:p w14:paraId="2DEB7B51">
            <w:pPr>
              <w:pStyle w:val="2"/>
              <w:spacing w:after="312" w:afterLines="100"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w:t>
            </w:r>
          </w:p>
        </w:tc>
      </w:tr>
    </w:tbl>
    <w:p w14:paraId="3D738EFF"/>
    <w:p w14:paraId="4491C8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D5E53"/>
    <w:rsid w:val="16FD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2025-06-20T00:29:00Z</dcterms:created>
  <dc:creator>月月鸟</dc:creator>
  <cp:lastModifiedBy>月月鸟</cp:lastModifiedBy>
  <dcterms:modified xsi:type="dcterms:W3CDTF">2025-06-20T00:30:31Z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7F8E1E2D8DF243F682C211BDA299CAF1_11</vt:lpwstr>
  </property>
  <property fmtid="{D5CDD505-2E9C-101B-9397-08002B2CF9AE}" pid="4" name="KSOTemplateDocerSaveRecord">
    <vt:lpwstr>eyJoZGlkIjoiNWM4MTkwZmVmMjI0NDVlNDhmNTBlZDdkNTQ0YjBjZjUiLCJ1c2VySWQiOiI1NDgzMzcyMzAifQ==</vt:lpwstr>
  </property>
</Properties>
</file>