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4BCC">
      <w:pPr>
        <w:rPr>
          <w:rFonts w:ascii="宋体" w:hAnsi="宋体"/>
          <w:sz w:val="24"/>
        </w:rPr>
      </w:pPr>
    </w:p>
    <w:tbl>
      <w:tblPr>
        <w:tblStyle w:val="18"/>
        <w:tblW w:w="104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1"/>
        <w:gridCol w:w="8885"/>
      </w:tblGrid>
      <w:tr w14:paraId="06E6F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406" w:type="dxa"/>
            <w:gridSpan w:val="2"/>
            <w:tcBorders>
              <w:top w:val="single" w:color="auto" w:sz="4" w:space="0"/>
              <w:left w:val="single" w:color="auto" w:sz="4" w:space="0"/>
              <w:bottom w:val="nil"/>
              <w:right w:val="single" w:color="auto" w:sz="4" w:space="0"/>
            </w:tcBorders>
            <w:vAlign w:val="center"/>
          </w:tcPr>
          <w:p w14:paraId="6B16C646">
            <w:pPr>
              <w:spacing w:line="32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脊柱侧弯管理系统</w:t>
            </w:r>
            <w:r>
              <w:rPr>
                <w:rFonts w:hint="eastAsia" w:ascii="宋体" w:hAnsi="宋体" w:cs="Arial"/>
                <w:b/>
                <w:color w:val="000000" w:themeColor="text1"/>
                <w:sz w:val="28"/>
                <w:szCs w:val="28"/>
                <w14:textFill>
                  <w14:solidFill>
                    <w14:schemeClr w14:val="tx1"/>
                  </w14:solidFill>
                </w14:textFill>
              </w:rPr>
              <w:t>需求一览表</w:t>
            </w:r>
          </w:p>
        </w:tc>
      </w:tr>
      <w:tr w14:paraId="5580E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521" w:type="dxa"/>
            <w:tcBorders>
              <w:top w:val="single" w:color="auto" w:sz="4" w:space="0"/>
              <w:left w:val="single" w:color="auto" w:sz="4" w:space="0"/>
              <w:right w:val="single" w:color="auto" w:sz="4" w:space="0"/>
            </w:tcBorders>
          </w:tcPr>
          <w:p w14:paraId="565E885D">
            <w:pPr>
              <w:spacing w:line="360" w:lineRule="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一、系统功能技术参数要求</w:t>
            </w:r>
          </w:p>
        </w:tc>
        <w:tc>
          <w:tcPr>
            <w:tcW w:w="8885" w:type="dxa"/>
            <w:tcBorders>
              <w:top w:val="single" w:color="auto" w:sz="4" w:space="0"/>
              <w:left w:val="single" w:color="auto" w:sz="4" w:space="0"/>
              <w:bottom w:val="single" w:color="auto" w:sz="4" w:space="0"/>
              <w:right w:val="single" w:color="auto" w:sz="4" w:space="0"/>
            </w:tcBorders>
          </w:tcPr>
          <w:p w14:paraId="50691160">
            <w:pPr>
              <w:pStyle w:val="2"/>
              <w:pageBreakBefore w:val="0"/>
              <w:widowControl w:val="0"/>
              <w:kinsoku/>
              <w:wordWrap/>
              <w:overflowPunct/>
              <w:topLinePunct w:val="0"/>
              <w:autoSpaceDE/>
              <w:autoSpaceDN/>
              <w:bidi w:val="0"/>
              <w:adjustRightInd/>
              <w:snapToGrid/>
              <w:spacing w:before="156" w:after="156" w:line="240" w:lineRule="auto"/>
              <w:textAlignment w:val="auto"/>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t>1. 筛查任务管理</w:t>
            </w:r>
          </w:p>
          <w:p w14:paraId="7FC8A542">
            <w:pPr>
              <w:pStyle w:val="2"/>
              <w:keepNext/>
              <w:keepLines/>
              <w:pageBreakBefore w:val="0"/>
              <w:widowControl w:val="0"/>
              <w:numPr>
                <w:ilvl w:val="0"/>
                <w:numId w:val="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支持批量导入学生信息并生成唯一筛查编号，实现高效建档。</w:t>
            </w:r>
          </w:p>
          <w:p w14:paraId="497553BF">
            <w:pPr>
              <w:pStyle w:val="2"/>
              <w:keepNext/>
              <w:keepLines/>
              <w:pageBreakBefore w:val="0"/>
              <w:widowControl w:val="0"/>
              <w:numPr>
                <w:ilvl w:val="0"/>
                <w:numId w:val="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支持按任务创建筛查计划，实时追踪完成进度。</w:t>
            </w:r>
          </w:p>
          <w:p w14:paraId="31309C1A">
            <w:pPr>
              <w:pStyle w:val="2"/>
              <w:keepNext/>
              <w:keepLines/>
              <w:pageBreakBefore w:val="0"/>
              <w:widowControl w:val="0"/>
              <w:numPr>
                <w:ilvl w:val="0"/>
                <w:numId w:val="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支持历史批次数据查看，并可按学校/时间筛选并导出筛查结果。</w:t>
            </w:r>
          </w:p>
          <w:p w14:paraId="36DB3B1D">
            <w:pPr>
              <w:pStyle w:val="2"/>
              <w:pageBreakBefore w:val="0"/>
              <w:widowControl w:val="0"/>
              <w:numPr>
                <w:ilvl w:val="0"/>
                <w:numId w:val="2"/>
              </w:numPr>
              <w:kinsoku/>
              <w:wordWrap/>
              <w:overflowPunct/>
              <w:topLinePunct w:val="0"/>
              <w:autoSpaceDE/>
              <w:autoSpaceDN/>
              <w:bidi w:val="0"/>
              <w:adjustRightInd/>
              <w:snapToGrid/>
              <w:spacing w:before="156" w:after="156" w:line="240" w:lineRule="auto"/>
              <w:textAlignment w:val="auto"/>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t>临床评估与智能报告</w:t>
            </w:r>
          </w:p>
          <w:p w14:paraId="65D05F22">
            <w:pPr>
              <w:pStyle w:val="2"/>
              <w:keepNext/>
              <w:keepLines/>
              <w:pageBreakBefore w:val="0"/>
              <w:widowControl w:val="0"/>
              <w:numPr>
                <w:ilvl w:val="0"/>
                <w:numId w:val="3"/>
              </w:numPr>
              <w:kinsoku/>
              <w:wordWrap/>
              <w:overflowPunct/>
              <w:topLinePunct w:val="0"/>
              <w:autoSpaceDE/>
              <w:autoSpaceDN/>
              <w:bidi w:val="0"/>
              <w:adjustRightInd/>
              <w:snapToGrid/>
              <w:spacing w:before="156" w:after="156" w:line="240" w:lineRule="auto"/>
              <w:ind w:left="42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标准化评估流程</w:t>
            </w:r>
          </w:p>
          <w:p w14:paraId="4583AF51">
            <w:pPr>
              <w:pStyle w:val="2"/>
              <w:keepNext/>
              <w:keepLines/>
              <w:pageBreakBefore w:val="0"/>
              <w:widowControl w:val="0"/>
              <w:kinsoku/>
              <w:wordWrap/>
              <w:overflowPunct/>
              <w:topLinePunct w:val="0"/>
              <w:autoSpaceDE/>
              <w:autoSpaceDN/>
              <w:bidi w:val="0"/>
              <w:adjustRightInd/>
              <w:snapToGrid/>
              <w:spacing w:before="156" w:after="156" w:line="240" w:lineRule="auto"/>
              <w:ind w:firstLine="476" w:firstLineChars="20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集成患者病史、主诉症状、家族史等快速录入功能，提供脊柱活动度、姿势评估（如三维脊柱姿势分析）、疼痛评估等标准化点选工具，支持颈椎、腰椎、骨盆专项筛查。</w:t>
            </w:r>
          </w:p>
          <w:p w14:paraId="1E438041">
            <w:pPr>
              <w:pStyle w:val="2"/>
              <w:keepNext/>
              <w:keepLines/>
              <w:pageBreakBefore w:val="0"/>
              <w:widowControl w:val="0"/>
              <w:numPr>
                <w:ilvl w:val="0"/>
                <w:numId w:val="3"/>
              </w:numPr>
              <w:kinsoku/>
              <w:wordWrap/>
              <w:overflowPunct/>
              <w:topLinePunct w:val="0"/>
              <w:autoSpaceDE/>
              <w:autoSpaceDN/>
              <w:bidi w:val="0"/>
              <w:adjustRightInd/>
              <w:snapToGrid/>
              <w:spacing w:before="156" w:after="156" w:line="240" w:lineRule="auto"/>
              <w:ind w:left="42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数据采集与AI辅助诊断</w:t>
            </w:r>
          </w:p>
          <w:p w14:paraId="1E077B8C">
            <w:pPr>
              <w:pStyle w:val="2"/>
              <w:keepNext/>
              <w:keepLines/>
              <w:pageBreakBefore w:val="0"/>
              <w:widowControl w:val="0"/>
              <w:numPr>
                <w:ilvl w:val="0"/>
                <w:numId w:val="0"/>
              </w:numPr>
              <w:kinsoku/>
              <w:wordWrap/>
              <w:overflowPunct/>
              <w:topLinePunct w:val="0"/>
              <w:autoSpaceDE/>
              <w:autoSpaceDN/>
              <w:bidi w:val="0"/>
              <w:adjustRightInd/>
              <w:snapToGrid/>
              <w:spacing w:before="156" w:after="156" w:line="240" w:lineRule="auto"/>
              <w:ind w:leftChars="0" w:firstLine="476" w:firstLineChars="20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系统应支持多种方式的数据采集及智能化辅助诊断。包括：</w:t>
            </w:r>
          </w:p>
          <w:p w14:paraId="45086A0C">
            <w:pPr>
              <w:pStyle w:val="2"/>
              <w:keepNext/>
              <w:keepLines/>
              <w:pageBreakBefore w:val="0"/>
              <w:widowControl w:val="0"/>
              <w:numPr>
                <w:ilvl w:val="0"/>
                <w:numId w:val="4"/>
              </w:numPr>
              <w:kinsoku/>
              <w:wordWrap/>
              <w:overflowPunct/>
              <w:topLinePunct w:val="0"/>
              <w:autoSpaceDE/>
              <w:autoSpaceDN/>
              <w:bidi w:val="0"/>
              <w:adjustRightInd/>
              <w:snapToGrid/>
              <w:spacing w:before="156" w:after="156" w:line="240" w:lineRule="auto"/>
              <w:ind w:left="397" w:leftChars="0" w:firstLine="3"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支持手动录入或自动抓取设备数据（如脊柱侧弯仪），并基于输入参数进行初步的Cobb角解析；</w:t>
            </w:r>
          </w:p>
          <w:p w14:paraId="1261F1CA">
            <w:pPr>
              <w:pStyle w:val="2"/>
              <w:keepNext/>
              <w:keepLines/>
              <w:pageBreakBefore w:val="0"/>
              <w:widowControl w:val="0"/>
              <w:numPr>
                <w:ilvl w:val="0"/>
                <w:numId w:val="4"/>
              </w:numPr>
              <w:kinsoku/>
              <w:wordWrap/>
              <w:overflowPunct/>
              <w:topLinePunct w:val="0"/>
              <w:autoSpaceDE/>
              <w:autoSpaceDN/>
              <w:bidi w:val="0"/>
              <w:adjustRightInd/>
              <w:snapToGrid/>
              <w:spacing w:before="156" w:after="156" w:line="240" w:lineRule="auto"/>
              <w:ind w:left="397" w:leftChars="0" w:firstLine="3"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支持上传脊柱全长正侧位片、MRI/CT、肌骨超声等医学影像资料，结合AI算法对影像中的脊柱形态进行自动识别并计算Cobb角（误差不超过0.5°），同时分析ATR角度；</w:t>
            </w:r>
          </w:p>
          <w:p w14:paraId="4DC06D00">
            <w:pPr>
              <w:pStyle w:val="2"/>
              <w:keepNext/>
              <w:keepLines/>
              <w:pageBreakBefore w:val="0"/>
              <w:widowControl w:val="0"/>
              <w:numPr>
                <w:ilvl w:val="0"/>
                <w:numId w:val="4"/>
              </w:numPr>
              <w:kinsoku/>
              <w:wordWrap/>
              <w:overflowPunct/>
              <w:topLinePunct w:val="0"/>
              <w:autoSpaceDE/>
              <w:autoSpaceDN/>
              <w:bidi w:val="0"/>
              <w:adjustRightInd/>
              <w:snapToGrid/>
              <w:spacing w:before="156" w:after="156" w:line="240" w:lineRule="auto"/>
              <w:ind w:left="397" w:leftChars="0" w:firstLine="3"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AI识别结果应可用于辅助临床判断，并与量表评估、生物力学数据整合使用。</w:t>
            </w:r>
          </w:p>
          <w:p w14:paraId="5D9D1D5B">
            <w:pPr>
              <w:pStyle w:val="2"/>
              <w:keepNext/>
              <w:keepLines/>
              <w:pageBreakBefore w:val="0"/>
              <w:widowControl w:val="0"/>
              <w:numPr>
                <w:ilvl w:val="0"/>
                <w:numId w:val="3"/>
              </w:numPr>
              <w:kinsoku/>
              <w:wordWrap/>
              <w:overflowPunct/>
              <w:topLinePunct w:val="0"/>
              <w:autoSpaceDE/>
              <w:autoSpaceDN/>
              <w:bidi w:val="0"/>
              <w:adjustRightInd/>
              <w:snapToGrid/>
              <w:spacing w:before="156" w:after="156" w:line="240" w:lineRule="auto"/>
              <w:ind w:left="42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多模态评估与国际标准适配</w:t>
            </w:r>
          </w:p>
          <w:p w14:paraId="7184009E">
            <w:pPr>
              <w:pStyle w:val="2"/>
              <w:keepNext/>
              <w:keepLines/>
              <w:pageBreakBefore w:val="0"/>
              <w:widowControl w:val="0"/>
              <w:kinsoku/>
              <w:wordWrap/>
              <w:overflowPunct/>
              <w:topLinePunct w:val="0"/>
              <w:autoSpaceDE/>
              <w:autoSpaceDN/>
              <w:bidi w:val="0"/>
              <w:adjustRightInd/>
              <w:snapToGrid/>
              <w:spacing w:before="156" w:after="156" w:line="240" w:lineRule="auto"/>
              <w:ind w:firstLine="476" w:firstLineChars="20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系统覆盖影像、量表、生物力学等多维度评估内容，集成SRS-22、PHQ-9等国际标准量表，实现分值自动计算，并适配SOSORT指南要求，满足科研和临床双重需求。</w:t>
            </w:r>
          </w:p>
          <w:p w14:paraId="7671F483">
            <w:pPr>
              <w:pStyle w:val="2"/>
              <w:keepNext/>
              <w:keepLines/>
              <w:pageBreakBefore w:val="0"/>
              <w:widowControl w:val="0"/>
              <w:numPr>
                <w:ilvl w:val="0"/>
                <w:numId w:val="3"/>
              </w:numPr>
              <w:kinsoku/>
              <w:wordWrap/>
              <w:overflowPunct/>
              <w:topLinePunct w:val="0"/>
              <w:autoSpaceDE/>
              <w:autoSpaceDN/>
              <w:bidi w:val="0"/>
              <w:adjustRightInd/>
              <w:snapToGrid/>
              <w:spacing w:before="156" w:after="156" w:line="240" w:lineRule="auto"/>
              <w:ind w:left="42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标准化电子报告生成</w:t>
            </w:r>
          </w:p>
          <w:p w14:paraId="2612B2D4">
            <w:pPr>
              <w:pStyle w:val="2"/>
              <w:keepNext/>
              <w:keepLines/>
              <w:pageBreakBefore w:val="0"/>
              <w:widowControl w:val="0"/>
              <w:kinsoku/>
              <w:wordWrap/>
              <w:overflowPunct/>
              <w:topLinePunct w:val="0"/>
              <w:autoSpaceDE/>
              <w:autoSpaceDN/>
              <w:bidi w:val="0"/>
              <w:adjustRightInd/>
              <w:snapToGrid/>
              <w:spacing w:before="156" w:after="156" w:line="240" w:lineRule="auto"/>
              <w:ind w:firstLine="476" w:firstLineChars="20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自动生成结构化电子报告，内容涵盖筛查结果、AI识别数据、量表评分及评估结论，支持PDF格式导出，并可在患者端同步查看。</w:t>
            </w:r>
          </w:p>
          <w:p w14:paraId="31D88192">
            <w:pPr>
              <w:pStyle w:val="2"/>
              <w:pageBreakBefore w:val="0"/>
              <w:widowControl w:val="0"/>
              <w:numPr>
                <w:ilvl w:val="0"/>
                <w:numId w:val="2"/>
              </w:numPr>
              <w:kinsoku/>
              <w:wordWrap/>
              <w:overflowPunct/>
              <w:topLinePunct w:val="0"/>
              <w:autoSpaceDE/>
              <w:autoSpaceDN/>
              <w:bidi w:val="0"/>
              <w:adjustRightInd/>
              <w:snapToGrid/>
              <w:spacing w:before="156" w:after="156" w:line="240" w:lineRule="auto"/>
              <w:ind w:left="0" w:leftChars="0" w:firstLine="0" w:firstLineChars="0"/>
              <w:textAlignment w:val="auto"/>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t>诊疗与康复管理</w:t>
            </w:r>
          </w:p>
          <w:p w14:paraId="37A5F31B">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3.1 个性化诊疗与康复计划</w:t>
            </w:r>
          </w:p>
          <w:p w14:paraId="7E3408F0">
            <w:pPr>
              <w:pStyle w:val="2"/>
              <w:keepNext/>
              <w:keepLines/>
              <w:pageBreakBefore w:val="0"/>
              <w:widowControl w:val="0"/>
              <w:numPr>
                <w:ilvl w:val="0"/>
                <w:numId w:val="5"/>
              </w:numPr>
              <w:kinsoku/>
              <w:wordWrap/>
              <w:overflowPunct/>
              <w:topLinePunct w:val="0"/>
              <w:autoSpaceDE/>
              <w:autoSpaceDN/>
              <w:bidi w:val="0"/>
              <w:adjustRightInd/>
              <w:snapToGrid/>
              <w:spacing w:before="156" w:after="156" w:line="240" w:lineRule="auto"/>
              <w:ind w:left="420" w:leftChars="0" w:hanging="420" w:firstLineChars="0"/>
              <w:textAlignment w:val="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支持医生制定个性化诊疗方案，记录患者的客观评估结果与主观反馈，并</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关联运动训练计划</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428AAC99">
            <w:pPr>
              <w:pStyle w:val="2"/>
              <w:keepNext/>
              <w:keepLines/>
              <w:pageBreakBefore w:val="0"/>
              <w:widowControl w:val="0"/>
              <w:numPr>
                <w:ilvl w:val="0"/>
                <w:numId w:val="5"/>
              </w:numPr>
              <w:kinsoku/>
              <w:wordWrap/>
              <w:overflowPunct/>
              <w:topLinePunct w:val="0"/>
              <w:autoSpaceDE/>
              <w:autoSpaceDN/>
              <w:bidi w:val="0"/>
              <w:adjustRightInd/>
              <w:snapToGrid/>
              <w:spacing w:before="156" w:after="156" w:line="240" w:lineRule="auto"/>
              <w:ind w:left="420" w:leftChars="0" w:hanging="420" w:firstLineChars="0"/>
              <w:textAlignment w:val="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支持患者上传训练照片或视频作为康复打卡反馈</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支持医生与患者线上互动，指导患者进行居家康复训练</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35416DB3">
            <w:pPr>
              <w:pStyle w:val="2"/>
              <w:keepNext/>
              <w:keepLines/>
              <w:pageBreakBefore w:val="0"/>
              <w:widowControl w:val="0"/>
              <w:numPr>
                <w:ilvl w:val="0"/>
                <w:numId w:val="5"/>
              </w:numPr>
              <w:kinsoku/>
              <w:wordWrap/>
              <w:overflowPunct/>
              <w:topLinePunct w:val="0"/>
              <w:autoSpaceDE/>
              <w:autoSpaceDN/>
              <w:bidi w:val="0"/>
              <w:adjustRightInd/>
              <w:snapToGrid/>
              <w:spacing w:before="156" w:after="156" w:line="240" w:lineRule="auto"/>
              <w:ind w:left="420" w:leftChars="0" w:hanging="420" w:firstLineChars="0"/>
              <w:textAlignment w:val="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支持医生查看患者的完整诊疗历史及康复记录，</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提供疗效分析数据，支持康复效果可视化展示</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用于动态调整康复策略，辅助临床决策</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7772A679">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3.2 患者服务</w:t>
            </w:r>
          </w:p>
          <w:p w14:paraId="72D6EF5F">
            <w:pPr>
              <w:pStyle w:val="2"/>
              <w:keepNext/>
              <w:keepLines/>
              <w:pageBreakBefore w:val="0"/>
              <w:widowControl w:val="0"/>
              <w:numPr>
                <w:ilvl w:val="0"/>
                <w:numId w:val="6"/>
              </w:numPr>
              <w:kinsoku/>
              <w:wordWrap/>
              <w:overflowPunct/>
              <w:topLinePunct w:val="0"/>
              <w:autoSpaceDE/>
              <w:autoSpaceDN/>
              <w:bidi w:val="0"/>
              <w:adjustRightInd/>
              <w:snapToGrid/>
              <w:spacing w:before="156" w:after="156" w:line="240" w:lineRule="auto"/>
              <w:ind w:left="425" w:leftChars="0" w:hanging="425" w:firstLineChars="0"/>
              <w:textAlignment w:val="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支持通过身份证号</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等方式</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一键绑定个人健康档案</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，在</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小程序端随时查看筛查结果与评估报告，并</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可以</w:t>
            </w: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在线咨询医生</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，获取专业意见；</w:t>
            </w:r>
          </w:p>
          <w:p w14:paraId="3D3C529B">
            <w:pPr>
              <w:pStyle w:val="2"/>
              <w:keepNext/>
              <w:keepLines/>
              <w:pageBreakBefore w:val="0"/>
              <w:widowControl w:val="0"/>
              <w:numPr>
                <w:ilvl w:val="0"/>
                <w:numId w:val="6"/>
              </w:numPr>
              <w:kinsoku/>
              <w:wordWrap/>
              <w:overflowPunct/>
              <w:topLinePunct w:val="0"/>
              <w:autoSpaceDE/>
              <w:autoSpaceDN/>
              <w:bidi w:val="0"/>
              <w:adjustRightInd/>
              <w:snapToGrid/>
              <w:spacing w:before="156" w:after="156" w:line="240" w:lineRule="auto"/>
              <w:ind w:left="425" w:leftChars="0" w:hanging="425" w:firstLineChars="0"/>
              <w:textAlignment w:val="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患者可通过小程序完成AI体态初筛（手机拍照检测脊柱姿态），查看评估报告并接收个性化健康建议；</w:t>
            </w:r>
          </w:p>
          <w:p w14:paraId="1BDFD3C3">
            <w:pPr>
              <w:pStyle w:val="2"/>
              <w:keepNext/>
              <w:keepLines/>
              <w:pageBreakBefore w:val="0"/>
              <w:widowControl w:val="0"/>
              <w:numPr>
                <w:ilvl w:val="0"/>
                <w:numId w:val="6"/>
              </w:numPr>
              <w:kinsoku/>
              <w:wordWrap/>
              <w:overflowPunct/>
              <w:topLinePunct w:val="0"/>
              <w:autoSpaceDE/>
              <w:autoSpaceDN/>
              <w:bidi w:val="0"/>
              <w:adjustRightInd/>
              <w:snapToGrid/>
              <w:spacing w:before="156" w:after="156" w:line="240" w:lineRule="auto"/>
              <w:ind w:left="42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t>提供健康宣教内容，包括科普文章、康复课程等，支持医患协同互动，提升康复依从性</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705B4F3A">
            <w:pPr>
              <w:pStyle w:val="2"/>
              <w:pageBreakBefore w:val="0"/>
              <w:widowControl w:val="0"/>
              <w:numPr>
                <w:ilvl w:val="0"/>
                <w:numId w:val="2"/>
              </w:numPr>
              <w:kinsoku/>
              <w:wordWrap/>
              <w:overflowPunct/>
              <w:topLinePunct w:val="0"/>
              <w:autoSpaceDE/>
              <w:autoSpaceDN/>
              <w:bidi w:val="0"/>
              <w:adjustRightInd/>
              <w:snapToGrid/>
              <w:spacing w:before="156" w:after="156" w:line="240" w:lineRule="auto"/>
              <w:ind w:left="0" w:leftChars="0" w:firstLine="0" w:firstLineChars="0"/>
              <w:textAlignment w:val="auto"/>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pacing w:val="-1"/>
                <w:kern w:val="2"/>
                <w:sz w:val="24"/>
                <w:szCs w:val="24"/>
                <w:lang w:val="en-US" w:eastAsia="zh-CN" w:bidi="ar-SA"/>
                <w14:textFill>
                  <w14:solidFill>
                    <w14:schemeClr w14:val="tx1"/>
                  </w14:solidFill>
                </w14:textFill>
              </w:rPr>
              <w:t>数据分析与权限控制</w:t>
            </w:r>
          </w:p>
          <w:p w14:paraId="59AE5E3A">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4.1 数据统计与可视化展示</w:t>
            </w:r>
          </w:p>
          <w:p w14:paraId="4ED5B312">
            <w:pPr>
              <w:pStyle w:val="2"/>
              <w:keepNext/>
              <w:keepLines/>
              <w:pageBreakBefore w:val="0"/>
              <w:widowControl w:val="0"/>
              <w:numPr>
                <w:ilvl w:val="0"/>
                <w:numId w:val="7"/>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支持按地区、学校生成脊柱侧弯风险分布图，辅助区域筛查决策；</w:t>
            </w:r>
          </w:p>
          <w:p w14:paraId="2F92C74E">
            <w:pPr>
              <w:pStyle w:val="2"/>
              <w:keepNext/>
              <w:keepLines/>
              <w:pageBreakBefore w:val="0"/>
              <w:widowControl w:val="0"/>
              <w:numPr>
                <w:ilvl w:val="0"/>
                <w:numId w:val="7"/>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提供侧弯分级统计、性别比例分析等图表，直观呈现筛查结果分布；</w:t>
            </w:r>
          </w:p>
          <w:p w14:paraId="588260AA">
            <w:pPr>
              <w:pStyle w:val="2"/>
              <w:keepNext/>
              <w:keepLines/>
              <w:pageBreakBefore w:val="0"/>
              <w:widowControl w:val="0"/>
              <w:numPr>
                <w:ilvl w:val="0"/>
                <w:numId w:val="7"/>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支持导出区域总体筛查报告，满足管理部门归档与汇报需求。</w:t>
            </w:r>
          </w:p>
          <w:p w14:paraId="2538F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4.2 质控与辅助决策支持</w:t>
            </w:r>
          </w:p>
          <w:p w14:paraId="2A5001C6">
            <w:pPr>
              <w:pStyle w:val="2"/>
              <w:keepNext/>
              <w:keepLines/>
              <w:pageBreakBefore w:val="0"/>
              <w:widowControl w:val="0"/>
              <w:numPr>
                <w:ilvl w:val="0"/>
                <w:numId w:val="8"/>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展示年度筛查趋势、年级风险分布等质控指标，便于掌握整体健康状况；</w:t>
            </w:r>
          </w:p>
          <w:p w14:paraId="11FA22B5">
            <w:pPr>
              <w:pStyle w:val="2"/>
              <w:keepNext/>
              <w:keepLines/>
              <w:pageBreakBefore w:val="0"/>
              <w:widowControl w:val="0"/>
              <w:numPr>
                <w:ilvl w:val="0"/>
                <w:numId w:val="8"/>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系统可自动生成阶段性筛查质量分析报告，辅助制定干预策略。</w:t>
            </w:r>
          </w:p>
          <w:p w14:paraId="57EF7B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4.3 权限配置与数据访问控制</w:t>
            </w:r>
          </w:p>
          <w:p w14:paraId="24F92E20">
            <w:pPr>
              <w:pStyle w:val="2"/>
              <w:keepNext/>
              <w:keepLines/>
              <w:pageBreakBefore w:val="0"/>
              <w:widowControl w:val="0"/>
              <w:numPr>
                <w:ilvl w:val="0"/>
                <w:numId w:val="9"/>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支持按角色分配数据访问权限，确保各层级用户仅查看授权范围内信息；</w:t>
            </w:r>
          </w:p>
          <w:p w14:paraId="546EC458">
            <w:pPr>
              <w:pStyle w:val="2"/>
              <w:keepNext/>
              <w:keepLines/>
              <w:pageBreakBefore w:val="0"/>
              <w:widowControl w:val="0"/>
              <w:numPr>
                <w:ilvl w:val="0"/>
                <w:numId w:val="9"/>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医生用户仅可查看其所属部门或管辖范围内的患者信息。</w:t>
            </w:r>
          </w:p>
        </w:tc>
      </w:tr>
      <w:tr w14:paraId="416EE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521" w:type="dxa"/>
            <w:tcBorders>
              <w:top w:val="single" w:color="auto" w:sz="4" w:space="0"/>
              <w:left w:val="single" w:color="auto" w:sz="4" w:space="0"/>
              <w:right w:val="single" w:color="auto" w:sz="4" w:space="0"/>
            </w:tcBorders>
          </w:tcPr>
          <w:p w14:paraId="41084014">
            <w:pPr>
              <w:spacing w:line="360" w:lineRule="auto"/>
              <w:rPr>
                <w:rFonts w:hint="default"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二、系统技术规格要求</w:t>
            </w:r>
          </w:p>
        </w:tc>
        <w:tc>
          <w:tcPr>
            <w:tcW w:w="8885" w:type="dxa"/>
            <w:tcBorders>
              <w:top w:val="single" w:color="auto" w:sz="4" w:space="0"/>
              <w:left w:val="single" w:color="auto" w:sz="4" w:space="0"/>
              <w:bottom w:val="single" w:color="auto" w:sz="4" w:space="0"/>
              <w:right w:val="single" w:color="auto" w:sz="4" w:space="0"/>
            </w:tcBorders>
          </w:tcPr>
          <w:p w14:paraId="331C1C97">
            <w:pPr>
              <w:pStyle w:val="2"/>
              <w:keepNext/>
              <w:keepLines/>
              <w:pageBreakBefore w:val="0"/>
              <w:widowControl w:val="0"/>
              <w:numPr>
                <w:numId w:val="0"/>
              </w:numPr>
              <w:kinsoku/>
              <w:wordWrap/>
              <w:overflowPunct/>
              <w:topLinePunct w:val="0"/>
              <w:autoSpaceDE/>
              <w:autoSpaceDN/>
              <w:bidi w:val="0"/>
              <w:adjustRightInd/>
              <w:snapToGrid/>
              <w:spacing w:before="156" w:after="156"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 xml:space="preserve">1. 技术架构与部署要求  </w:t>
            </w:r>
          </w:p>
          <w:p w14:paraId="22C14471">
            <w:pPr>
              <w:pStyle w:val="2"/>
              <w:keepNext/>
              <w:keepLines/>
              <w:pageBreakBefore w:val="0"/>
              <w:widowControl w:val="0"/>
              <w:numPr>
                <w:ilvl w:val="0"/>
                <w:numId w:val="10"/>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系统应采用B/S架构，支持PC端与小程序端多终端访问；</w:t>
            </w:r>
          </w:p>
          <w:p w14:paraId="6C02C215">
            <w:pPr>
              <w:pStyle w:val="2"/>
              <w:keepNext/>
              <w:keepLines/>
              <w:pageBreakBefore w:val="0"/>
              <w:widowControl w:val="0"/>
              <w:numPr>
                <w:ilvl w:val="0"/>
                <w:numId w:val="10"/>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支持本地化部署，具备高可用性</w:t>
            </w:r>
            <w:bookmarkStart w:id="0" w:name="_GoBack"/>
            <w:bookmarkEnd w:id="0"/>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609EFAD2">
            <w:pPr>
              <w:pStyle w:val="2"/>
              <w:keepNext/>
              <w:keepLines/>
              <w:pageBreakBefore w:val="0"/>
              <w:widowControl w:val="0"/>
              <w:numPr>
                <w:ilvl w:val="0"/>
                <w:numId w:val="10"/>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兼容主流数据库及国产数据库（如达梦、人大金仓等），具备良好的平台适配性与数据迁移能力；</w:t>
            </w:r>
          </w:p>
          <w:p w14:paraId="795FC39E">
            <w:pPr>
              <w:pStyle w:val="2"/>
              <w:keepNext/>
              <w:keepLines/>
              <w:pageBreakBefore w:val="0"/>
              <w:widowControl w:val="0"/>
              <w:numPr>
                <w:ilvl w:val="0"/>
                <w:numId w:val="10"/>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支持与医院现有信息系统（如HIS、PACS、EMR 等主流医疗业务系统）对接，提供标准 API 接口及对接方案，确保数据互通与业务协同；</w:t>
            </w:r>
          </w:p>
          <w:p w14:paraId="61510C09">
            <w:pPr>
              <w:pStyle w:val="2"/>
              <w:keepNext/>
              <w:keepLines/>
              <w:pageBreakBefore w:val="0"/>
              <w:widowControl w:val="0"/>
              <w:numPr>
                <w:ilvl w:val="0"/>
                <w:numId w:val="10"/>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具备良好的扩展性，支持后续模块扩展与AI模型升级。</w:t>
            </w:r>
          </w:p>
          <w:p w14:paraId="546F3923">
            <w:pPr>
              <w:pStyle w:val="2"/>
              <w:keepNext/>
              <w:keepLines/>
              <w:pageBreakBefore w:val="0"/>
              <w:widowControl w:val="0"/>
              <w:numPr>
                <w:numId w:val="0"/>
              </w:numPr>
              <w:kinsoku/>
              <w:wordWrap/>
              <w:overflowPunct/>
              <w:topLinePunct w:val="0"/>
              <w:autoSpaceDE/>
              <w:autoSpaceDN/>
              <w:bidi w:val="0"/>
              <w:adjustRightInd/>
              <w:snapToGrid/>
              <w:spacing w:before="156" w:after="156"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　2. 性能指标要求</w:t>
            </w:r>
          </w:p>
          <w:p w14:paraId="013F50A3">
            <w:pPr>
              <w:pStyle w:val="2"/>
              <w:keepNext/>
              <w:keepLines/>
              <w:pageBreakBefore w:val="0"/>
              <w:widowControl w:val="0"/>
              <w:numPr>
                <w:ilvl w:val="0"/>
                <w:numId w:val="1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一般页面加载时间应控制在2秒以内，复杂查询响应时间不超过5秒；</w:t>
            </w:r>
          </w:p>
          <w:p w14:paraId="4A8DEFB9">
            <w:pPr>
              <w:pStyle w:val="2"/>
              <w:keepNext/>
              <w:keepLines/>
              <w:pageBreakBefore w:val="0"/>
              <w:widowControl w:val="0"/>
              <w:numPr>
                <w:ilvl w:val="0"/>
                <w:numId w:val="1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单日筛查任务处理能力应不低于300人次；</w:t>
            </w:r>
          </w:p>
          <w:p w14:paraId="155B3398">
            <w:pPr>
              <w:pStyle w:val="2"/>
              <w:keepNext/>
              <w:keepLines/>
              <w:pageBreakBefore w:val="0"/>
              <w:widowControl w:val="0"/>
              <w:numPr>
                <w:ilvl w:val="0"/>
                <w:numId w:val="1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AI识别Cobb角响应时间应不超过5秒/张图像，识别误差不超过0.5°，ATR角度分析误差不超过1°；</w:t>
            </w:r>
          </w:p>
          <w:p w14:paraId="39377C19">
            <w:pPr>
              <w:pStyle w:val="2"/>
              <w:keepNext/>
              <w:keepLines/>
              <w:pageBreakBefore w:val="0"/>
              <w:widowControl w:val="0"/>
              <w:numPr>
                <w:ilvl w:val="0"/>
                <w:numId w:val="11"/>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AI辅助诊断模块应具有医疗器械注册证或临床试验报告</w:t>
            </w:r>
            <w:r>
              <w:rPr>
                <w:rFonts w:ascii="NotoSansHans" w:hAnsi="NotoSansHans" w:eastAsia="NotoSansHans" w:cs="NotoSansHans"/>
                <w:i w:val="0"/>
                <w:iCs w:val="0"/>
                <w:caps w:val="0"/>
                <w:color w:val="2C2C36"/>
                <w:spacing w:val="5"/>
                <w:sz w:val="24"/>
                <w:szCs w:val="24"/>
                <w:shd w:val="clear" w:fill="FFFFFF"/>
              </w:rPr>
              <w:t>，确保算法合规性与临床适用性。</w:t>
            </w:r>
          </w:p>
          <w:p w14:paraId="0E1ECD54">
            <w:pPr>
              <w:pStyle w:val="2"/>
              <w:keepNext/>
              <w:keepLines/>
              <w:pageBreakBefore w:val="0"/>
              <w:widowControl w:val="0"/>
              <w:numPr>
                <w:numId w:val="0"/>
              </w:numPr>
              <w:kinsoku/>
              <w:wordWrap/>
              <w:overflowPunct/>
              <w:topLinePunct w:val="0"/>
              <w:autoSpaceDE/>
              <w:autoSpaceDN/>
              <w:bidi w:val="0"/>
              <w:adjustRightInd/>
              <w:snapToGrid/>
              <w:spacing w:before="156" w:after="156" w:line="240" w:lineRule="auto"/>
              <w:ind w:left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 xml:space="preserve">　3. 安全合规性要求  </w:t>
            </w:r>
          </w:p>
          <w:p w14:paraId="37B7A3F4">
            <w:pPr>
              <w:pStyle w:val="2"/>
              <w:keepNext/>
              <w:keepLines/>
              <w:pageBreakBefore w:val="0"/>
              <w:widowControl w:val="0"/>
              <w:numPr>
                <w:ilvl w:val="0"/>
                <w:numId w:val="12"/>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用户敏感信息应加密存储，传输过程使用HTTPS协议，保障全流程信息安全</w:t>
            </w: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w:t>
            </w:r>
          </w:p>
          <w:p w14:paraId="27B8E18C">
            <w:pPr>
              <w:pStyle w:val="2"/>
              <w:keepNext/>
              <w:keepLines/>
              <w:pageBreakBefore w:val="0"/>
              <w:widowControl w:val="0"/>
              <w:numPr>
                <w:ilvl w:val="0"/>
                <w:numId w:val="12"/>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支持基于角色的权限控制（RBAC），隔离用户权限边界，防止越权访问；</w:t>
            </w:r>
          </w:p>
          <w:p w14:paraId="3055029B">
            <w:pPr>
              <w:pStyle w:val="2"/>
              <w:keepNext/>
              <w:keepLines/>
              <w:pageBreakBefore w:val="0"/>
              <w:widowControl w:val="0"/>
              <w:numPr>
                <w:ilvl w:val="0"/>
                <w:numId w:val="12"/>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提供日志记录与告警机制，所有操作行为自动留痕，支持日志导出与审计追溯；</w:t>
            </w:r>
          </w:p>
          <w:p w14:paraId="1ED90C9C">
            <w:pPr>
              <w:pStyle w:val="2"/>
              <w:keepNext/>
              <w:keepLines/>
              <w:pageBreakBefore w:val="0"/>
              <w:widowControl w:val="0"/>
              <w:numPr>
                <w:ilvl w:val="0"/>
                <w:numId w:val="12"/>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系统应符合《中华人民共和国个人信息保护法》要求，在采集学生信息前应取得授权，保障知情权，并具备完善的隐私保护机制，</w:t>
            </w:r>
            <w:r>
              <w:rPr>
                <w:rFonts w:ascii="NotoSansHans" w:hAnsi="NotoSansHans" w:eastAsia="NotoSansHans" w:cs="NotoSansHans"/>
                <w:i w:val="0"/>
                <w:iCs w:val="0"/>
                <w:caps w:val="0"/>
                <w:color w:val="2C2C36"/>
                <w:spacing w:val="5"/>
                <w:sz w:val="24"/>
                <w:szCs w:val="24"/>
                <w:shd w:val="clear" w:fill="FFFFFF"/>
              </w:rPr>
              <w:t>确保数据使用的安全性与合规性；</w:t>
            </w:r>
          </w:p>
          <w:p w14:paraId="5698E810">
            <w:pPr>
              <w:pStyle w:val="2"/>
              <w:keepNext/>
              <w:keepLines/>
              <w:pageBreakBefore w:val="0"/>
              <w:widowControl w:val="0"/>
              <w:numPr>
                <w:ilvl w:val="0"/>
                <w:numId w:val="12"/>
              </w:numPr>
              <w:kinsoku/>
              <w:wordWrap/>
              <w:overflowPunct/>
              <w:topLinePunct w:val="0"/>
              <w:autoSpaceDE/>
              <w:autoSpaceDN/>
              <w:bidi w:val="0"/>
              <w:adjustRightInd/>
              <w:snapToGrid/>
              <w:spacing w:before="156" w:after="156" w:line="240" w:lineRule="auto"/>
              <w:ind w:left="845" w:leftChars="0" w:hanging="425" w:firstLineChars="0"/>
              <w:textAlignment w:val="auto"/>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
                <w:kern w:val="2"/>
                <w:sz w:val="24"/>
                <w:szCs w:val="24"/>
                <w:lang w:val="en-US" w:eastAsia="zh-CN" w:bidi="ar-SA"/>
                <w14:textFill>
                  <w14:solidFill>
                    <w14:schemeClr w14:val="tx1"/>
                  </w14:solidFill>
                </w14:textFill>
              </w:rPr>
              <w:t>满足“数据不出院”要求，保障医疗数据本地可控、可追溯；筛查结果可通过小程序或纸质方式反馈学生或家长，</w:t>
            </w:r>
            <w:r>
              <w:rPr>
                <w:rFonts w:ascii="NotoSansHans" w:hAnsi="NotoSansHans" w:eastAsia="NotoSansHans" w:cs="NotoSansHans"/>
                <w:i w:val="0"/>
                <w:iCs w:val="0"/>
                <w:caps w:val="0"/>
                <w:color w:val="2C2C36"/>
                <w:spacing w:val="5"/>
                <w:sz w:val="24"/>
                <w:szCs w:val="24"/>
                <w:shd w:val="clear" w:fill="FFFFFF"/>
              </w:rPr>
              <w:t>未经许可不得将数据上传至云端或外部平台。</w:t>
            </w:r>
          </w:p>
        </w:tc>
      </w:tr>
      <w:tr w14:paraId="3713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521" w:type="dxa"/>
            <w:tcBorders>
              <w:top w:val="single" w:color="auto" w:sz="4" w:space="0"/>
              <w:left w:val="single" w:color="auto" w:sz="4" w:space="0"/>
              <w:bottom w:val="single" w:color="auto" w:sz="4" w:space="0"/>
              <w:right w:val="single" w:color="auto" w:sz="4" w:space="0"/>
            </w:tcBorders>
          </w:tcPr>
          <w:p w14:paraId="603C431B">
            <w:pPr>
              <w:jc w:val="center"/>
              <w:rPr>
                <w:rFonts w:ascii="宋体" w:hAnsi="宋体"/>
                <w:color w:val="000000" w:themeColor="text1"/>
                <w:szCs w:val="21"/>
                <w14:textFill>
                  <w14:solidFill>
                    <w14:schemeClr w14:val="tx1"/>
                  </w14:solidFill>
                </w14:textFill>
              </w:rPr>
            </w:pPr>
          </w:p>
          <w:p w14:paraId="7F62E4D0">
            <w:pPr>
              <w:jc w:val="center"/>
              <w:rPr>
                <w:rFonts w:ascii="宋体" w:hAnsi="宋体"/>
                <w:color w:val="000000" w:themeColor="text1"/>
                <w:szCs w:val="21"/>
                <w14:textFill>
                  <w14:solidFill>
                    <w14:schemeClr w14:val="tx1"/>
                  </w14:solidFill>
                </w14:textFill>
              </w:rPr>
            </w:pPr>
          </w:p>
          <w:p w14:paraId="3ABC2BD6">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商务条款</w:t>
            </w:r>
          </w:p>
        </w:tc>
        <w:tc>
          <w:tcPr>
            <w:tcW w:w="8885" w:type="dxa"/>
            <w:tcBorders>
              <w:top w:val="single" w:color="auto" w:sz="4" w:space="0"/>
              <w:left w:val="single" w:color="auto" w:sz="4" w:space="0"/>
              <w:bottom w:val="single" w:color="auto" w:sz="4" w:space="0"/>
              <w:right w:val="single" w:color="auto" w:sz="4" w:space="0"/>
            </w:tcBorders>
            <w:shd w:val="clear" w:color="auto" w:fill="auto"/>
            <w:vAlign w:val="center"/>
          </w:tcPr>
          <w:p w14:paraId="665495E6">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一、合同签订期：自中标通知书发出之日起 30个自然日内。</w:t>
            </w:r>
          </w:p>
          <w:p w14:paraId="05C54A67">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二、提交服务成果时间：自合同签订之日起180个自然日内完成实施并上线试运行。</w:t>
            </w:r>
          </w:p>
          <w:p w14:paraId="7A724C0A">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三、提交服务成果地点：采购人指定地点。</w:t>
            </w:r>
          </w:p>
          <w:p w14:paraId="202BC0F9">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四、质保期：自提交服务成功验收合格并上线运行终验合格之日起，质保期内定期对系统进行免费原厂维护和软件升级，质保期内出现故障，需派出原厂技术工程师到达现场处理故障，并承担一切费用。</w:t>
            </w:r>
          </w:p>
          <w:p w14:paraId="2D5896E7">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五、交货方式：现场交货。</w:t>
            </w:r>
          </w:p>
          <w:p w14:paraId="41C73997">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六、售后服务要求：</w:t>
            </w:r>
          </w:p>
          <w:p w14:paraId="3732248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1、故障响应时间：软件故障立即现场解决；接到硬件故障电话30分钟内响应。</w:t>
            </w:r>
          </w:p>
          <w:p w14:paraId="3B9025D3">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2、故障到达时间：维修人员24小时服务，软件故障立即远程解决，接到通知后在4小时内到达现场处理，按国家及行业标准对故障进行及时处理。电话咨询及远程技术支持不能解决的，按以下要求：</w:t>
            </w:r>
          </w:p>
          <w:p w14:paraId="64B5552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紧急状态：整个系统不能正常运行或瘫痪，中标供应商能够在20分钟内得到答复，在2小时内到达现场，随后4小时内恢复生产并提供解决方案。</w:t>
            </w:r>
          </w:p>
          <w:p w14:paraId="0EF8EA08">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严重状态：一个重要子系统不能工作，但其他部分正常工作，中标供应商能够在 30分钟内得到答复，2个小时内到达现场；随后一天内解决问题。</w:t>
            </w:r>
          </w:p>
          <w:p w14:paraId="57FD5490">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轻微状态：系统中的一般可避免错误，不影响系统的正常工作，中标供应商能够在2小时内得到答复，在 1天内到达现场。</w:t>
            </w:r>
          </w:p>
          <w:p w14:paraId="24A198E4">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质保期满后，按照质保期内售后服务内容及标准继续提供质保服务，直至采购人确认更换维保单位或设备报废。不能因质保期满而出现缓修、拒修等情况，维修所产生费用由中标供应商和采购人另行结算。</w:t>
            </w:r>
          </w:p>
          <w:p w14:paraId="4DCA53A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3、质保期按国家规定实行“三包”，质保期内免费提供项目软件的纠错处理及相关维护。</w:t>
            </w:r>
          </w:p>
          <w:p w14:paraId="51679296">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4、免费对采购人的使用人员进行操作及相关知识的培训，并确保熟练使用系统，并能排除简单故障。</w:t>
            </w:r>
          </w:p>
          <w:p w14:paraId="1C6E2642">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5、定期回访（验收合格半年内，要求投标人或生产厂家进行定期回访并提供详细的软件项目维护检查报告给采购人）以及对系统进行维护。</w:t>
            </w:r>
          </w:p>
          <w:p w14:paraId="199BF0AA">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6、质保期满后提供终身有偿维修服务，年度维保费用按照不高于软件服务成交价的10%来磋商。</w:t>
            </w:r>
          </w:p>
          <w:p w14:paraId="59C6D05C">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付款方式：验收合格后，收到乙方的全额有效发票3个月内支付95%合同款，质保期满后经核验无质量问题支付剩余5%的合同款（无计息）。</w:t>
            </w:r>
          </w:p>
          <w:p w14:paraId="76BE4593">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八、其他要求：</w:t>
            </w:r>
          </w:p>
          <w:p w14:paraId="748CCC52">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1、报价必须含以下部分，包括：</w:t>
            </w:r>
          </w:p>
          <w:p w14:paraId="1D041797">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（1）服务及软件的价格；</w:t>
            </w:r>
          </w:p>
          <w:p w14:paraId="1D66767A">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（2）必要的保险费用和各项税金；</w:t>
            </w:r>
          </w:p>
          <w:p w14:paraId="11DACFE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（3）运输、装卸、安装、调试、培训、技术支持、售后服务、更新升级、外出调研、接口开发、系统整合连接等费用；</w:t>
            </w:r>
          </w:p>
          <w:p w14:paraId="5A2AA279">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（4）包含组织项目通过最终验收的费用。</w:t>
            </w:r>
          </w:p>
          <w:p w14:paraId="0A9CF4D3">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2、投标人必须承诺所提供产品在项目实施期间及质保期内，与采购人指定的系统平台进行无缝对接，不向采购人收取接口费用。</w:t>
            </w:r>
          </w:p>
          <w:p w14:paraId="286319E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九、其他要求：</w:t>
            </w:r>
          </w:p>
          <w:p w14:paraId="1BEEA6F0">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（1）实施过程应严格执行相关的规范，保证医疗质量安全。</w:t>
            </w:r>
          </w:p>
          <w:p w14:paraId="4F582AA4">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人承诺所提供产品应根据采购人要求，与采购人现有医疗信息集成平台、HIS、EMR、智慧医院/互联网医院平台、各类医技系统以及其他需对接的系统、平台进行无缝对接，不得要求费用。（投标文件中提供承诺函加盖投标人公章）</w:t>
            </w:r>
          </w:p>
          <w:p w14:paraId="01B97B7F">
            <w:pPr>
              <w:widowControl/>
              <w:shd w:val="clear" w:color="auto" w:fill="FFFFFF"/>
              <w:spacing w:line="330" w:lineRule="atLeas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（3）投标人应保证所提供的产品包括相关附件为相应厂家原装正品，符合国家有关规定。</w:t>
            </w:r>
          </w:p>
          <w:p w14:paraId="2F50D957">
            <w:pPr>
              <w:widowControl/>
              <w:shd w:val="clear" w:color="auto" w:fill="FFFFFF"/>
              <w:spacing w:line="330" w:lineRule="atLeast"/>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（4）投标人应保证所提供产品具有合法的版权或使用权。如在本项目范围内使用过程中出现版权或使用权纠纷，应由中标人负责，采购人不承担责任。</w:t>
            </w:r>
          </w:p>
        </w:tc>
      </w:tr>
    </w:tbl>
    <w:p w14:paraId="1DD5CC09">
      <w:pPr>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NotoSansH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E0ED7"/>
    <w:multiLevelType w:val="singleLevel"/>
    <w:tmpl w:val="BD9E0ED7"/>
    <w:lvl w:ilvl="0" w:tentative="0">
      <w:start w:val="1"/>
      <w:numFmt w:val="decimal"/>
      <w:lvlText w:val="(%1)"/>
      <w:lvlJc w:val="left"/>
      <w:pPr>
        <w:tabs>
          <w:tab w:val="left" w:pos="420"/>
        </w:tabs>
        <w:ind w:left="845" w:hanging="425"/>
      </w:pPr>
      <w:rPr>
        <w:rFonts w:hint="default"/>
      </w:rPr>
    </w:lvl>
  </w:abstractNum>
  <w:abstractNum w:abstractNumId="1">
    <w:nsid w:val="C616253D"/>
    <w:multiLevelType w:val="singleLevel"/>
    <w:tmpl w:val="C616253D"/>
    <w:lvl w:ilvl="0" w:tentative="0">
      <w:start w:val="2"/>
      <w:numFmt w:val="decimal"/>
      <w:suff w:val="space"/>
      <w:lvlText w:val="%1."/>
      <w:lvlJc w:val="left"/>
    </w:lvl>
  </w:abstractNum>
  <w:abstractNum w:abstractNumId="2">
    <w:nsid w:val="E528A7BC"/>
    <w:multiLevelType w:val="singleLevel"/>
    <w:tmpl w:val="E528A7BC"/>
    <w:lvl w:ilvl="0" w:tentative="0">
      <w:start w:val="1"/>
      <w:numFmt w:val="decimal"/>
      <w:lvlText w:val="%1)"/>
      <w:lvlJc w:val="left"/>
      <w:pPr>
        <w:ind w:left="425" w:hanging="425"/>
      </w:pPr>
      <w:rPr>
        <w:rFonts w:hint="default"/>
      </w:rPr>
    </w:lvl>
  </w:abstractNum>
  <w:abstractNum w:abstractNumId="3">
    <w:nsid w:val="E81EB4CD"/>
    <w:multiLevelType w:val="singleLevel"/>
    <w:tmpl w:val="E81EB4CD"/>
    <w:lvl w:ilvl="0" w:tentative="0">
      <w:start w:val="1"/>
      <w:numFmt w:val="decimal"/>
      <w:lvlText w:val="(%1)"/>
      <w:lvlJc w:val="left"/>
      <w:pPr>
        <w:tabs>
          <w:tab w:val="left" w:pos="0"/>
        </w:tabs>
        <w:ind w:left="420" w:leftChars="0" w:hanging="420" w:firstLineChars="0"/>
      </w:pPr>
      <w:rPr>
        <w:rFonts w:hint="default"/>
      </w:rPr>
    </w:lvl>
  </w:abstractNum>
  <w:abstractNum w:abstractNumId="4">
    <w:nsid w:val="01C84719"/>
    <w:multiLevelType w:val="singleLevel"/>
    <w:tmpl w:val="01C84719"/>
    <w:lvl w:ilvl="0" w:tentative="0">
      <w:start w:val="1"/>
      <w:numFmt w:val="decimal"/>
      <w:lvlText w:val="(%1)"/>
      <w:lvlJc w:val="left"/>
      <w:pPr>
        <w:tabs>
          <w:tab w:val="left" w:pos="420"/>
        </w:tabs>
        <w:ind w:left="845" w:hanging="425"/>
      </w:pPr>
      <w:rPr>
        <w:rFonts w:hint="default"/>
      </w:rPr>
    </w:lvl>
  </w:abstractNum>
  <w:abstractNum w:abstractNumId="5">
    <w:nsid w:val="330F4444"/>
    <w:multiLevelType w:val="singleLevel"/>
    <w:tmpl w:val="330F4444"/>
    <w:lvl w:ilvl="0" w:tentative="0">
      <w:start w:val="1"/>
      <w:numFmt w:val="decimal"/>
      <w:lvlText w:val="(%1)"/>
      <w:lvlJc w:val="left"/>
      <w:pPr>
        <w:tabs>
          <w:tab w:val="left" w:pos="420"/>
        </w:tabs>
        <w:ind w:left="845" w:hanging="425"/>
      </w:pPr>
      <w:rPr>
        <w:rFonts w:hint="default"/>
      </w:rPr>
    </w:lvl>
  </w:abstractNum>
  <w:abstractNum w:abstractNumId="6">
    <w:nsid w:val="373553F2"/>
    <w:multiLevelType w:val="singleLevel"/>
    <w:tmpl w:val="373553F2"/>
    <w:lvl w:ilvl="0" w:tentative="0">
      <w:start w:val="1"/>
      <w:numFmt w:val="decimal"/>
      <w:lvlText w:val="(%1)"/>
      <w:lvlJc w:val="left"/>
      <w:pPr>
        <w:ind w:left="425" w:hanging="425"/>
      </w:pPr>
      <w:rPr>
        <w:rFonts w:hint="default"/>
      </w:rPr>
    </w:lvl>
  </w:abstractNum>
  <w:abstractNum w:abstractNumId="7">
    <w:nsid w:val="3F64B08F"/>
    <w:multiLevelType w:val="singleLevel"/>
    <w:tmpl w:val="3F64B08F"/>
    <w:lvl w:ilvl="0" w:tentative="0">
      <w:start w:val="1"/>
      <w:numFmt w:val="decimal"/>
      <w:lvlText w:val="(%1)"/>
      <w:lvlJc w:val="left"/>
      <w:pPr>
        <w:tabs>
          <w:tab w:val="left" w:pos="420"/>
        </w:tabs>
        <w:ind w:left="845" w:hanging="425"/>
      </w:pPr>
      <w:rPr>
        <w:rFonts w:hint="default"/>
      </w:rPr>
    </w:lvl>
  </w:abstractNum>
  <w:abstractNum w:abstractNumId="8">
    <w:nsid w:val="5305BE02"/>
    <w:multiLevelType w:val="singleLevel"/>
    <w:tmpl w:val="5305BE02"/>
    <w:lvl w:ilvl="0" w:tentative="0">
      <w:start w:val="1"/>
      <w:numFmt w:val="decimal"/>
      <w:lvlText w:val="(%1)"/>
      <w:lvlJc w:val="left"/>
      <w:pPr>
        <w:tabs>
          <w:tab w:val="left" w:pos="420"/>
        </w:tabs>
        <w:ind w:left="845" w:hanging="425"/>
      </w:pPr>
      <w:rPr>
        <w:rFonts w:hint="default"/>
      </w:rPr>
    </w:lvl>
  </w:abstractNum>
  <w:abstractNum w:abstractNumId="9">
    <w:nsid w:val="54301E0C"/>
    <w:multiLevelType w:val="singleLevel"/>
    <w:tmpl w:val="54301E0C"/>
    <w:lvl w:ilvl="0" w:tentative="0">
      <w:start w:val="1"/>
      <w:numFmt w:val="decimal"/>
      <w:lvlText w:val="(%1)"/>
      <w:lvlJc w:val="left"/>
      <w:pPr>
        <w:tabs>
          <w:tab w:val="left" w:pos="420"/>
        </w:tabs>
        <w:ind w:left="845" w:hanging="425"/>
      </w:pPr>
      <w:rPr>
        <w:rFonts w:hint="default"/>
      </w:rPr>
    </w:lvl>
  </w:abstractNum>
  <w:abstractNum w:abstractNumId="10">
    <w:nsid w:val="5A8F60E4"/>
    <w:multiLevelType w:val="singleLevel"/>
    <w:tmpl w:val="5A8F60E4"/>
    <w:lvl w:ilvl="0" w:tentative="0">
      <w:start w:val="1"/>
      <w:numFmt w:val="decimal"/>
      <w:lvlText w:val="(%1)"/>
      <w:lvlJc w:val="left"/>
      <w:pPr>
        <w:tabs>
          <w:tab w:val="left" w:pos="420"/>
        </w:tabs>
        <w:ind w:left="845" w:hanging="425"/>
      </w:pPr>
      <w:rPr>
        <w:rFonts w:hint="default"/>
      </w:rPr>
    </w:lvl>
  </w:abstractNum>
  <w:abstractNum w:abstractNumId="11">
    <w:nsid w:val="729125C7"/>
    <w:multiLevelType w:val="singleLevel"/>
    <w:tmpl w:val="729125C7"/>
    <w:lvl w:ilvl="0" w:tentative="0">
      <w:start w:val="1"/>
      <w:numFmt w:val="decimal"/>
      <w:lvlText w:val="(%1)"/>
      <w:lvlJc w:val="left"/>
      <w:pPr>
        <w:ind w:left="425" w:hanging="425"/>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11"/>
  </w:num>
  <w:num w:numId="7">
    <w:abstractNumId w:val="7"/>
  </w:num>
  <w:num w:numId="8">
    <w:abstractNumId w:val="8"/>
  </w:num>
  <w:num w:numId="9">
    <w:abstractNumId w:val="10"/>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97"/>
    <w:rsid w:val="000377DA"/>
    <w:rsid w:val="0005758E"/>
    <w:rsid w:val="000E0FCD"/>
    <w:rsid w:val="001528C2"/>
    <w:rsid w:val="00203601"/>
    <w:rsid w:val="00207772"/>
    <w:rsid w:val="00226130"/>
    <w:rsid w:val="00295A79"/>
    <w:rsid w:val="00383A74"/>
    <w:rsid w:val="00483248"/>
    <w:rsid w:val="004E1EEC"/>
    <w:rsid w:val="005940E9"/>
    <w:rsid w:val="006D7C9B"/>
    <w:rsid w:val="00835312"/>
    <w:rsid w:val="008D0DCB"/>
    <w:rsid w:val="00924B5C"/>
    <w:rsid w:val="00990BC9"/>
    <w:rsid w:val="00A166DC"/>
    <w:rsid w:val="00C752DD"/>
    <w:rsid w:val="00D57AFA"/>
    <w:rsid w:val="00D8573C"/>
    <w:rsid w:val="00D8743F"/>
    <w:rsid w:val="00E5505B"/>
    <w:rsid w:val="00F16C61"/>
    <w:rsid w:val="00F16D97"/>
    <w:rsid w:val="00FE2EA9"/>
    <w:rsid w:val="05CB06B5"/>
    <w:rsid w:val="0C912616"/>
    <w:rsid w:val="0DFFF3E4"/>
    <w:rsid w:val="175F8EE0"/>
    <w:rsid w:val="1CFDA257"/>
    <w:rsid w:val="1E7E6B05"/>
    <w:rsid w:val="1FF62D26"/>
    <w:rsid w:val="24956E8E"/>
    <w:rsid w:val="252F7DB0"/>
    <w:rsid w:val="278A4398"/>
    <w:rsid w:val="2A2B0C72"/>
    <w:rsid w:val="2DDE1219"/>
    <w:rsid w:val="2FBD36B3"/>
    <w:rsid w:val="35455C36"/>
    <w:rsid w:val="36BA0F57"/>
    <w:rsid w:val="44437E97"/>
    <w:rsid w:val="4C7F51B5"/>
    <w:rsid w:val="4DA1077B"/>
    <w:rsid w:val="4FD935A9"/>
    <w:rsid w:val="5F7E08C2"/>
    <w:rsid w:val="609E46FF"/>
    <w:rsid w:val="68ED32E6"/>
    <w:rsid w:val="69B86B5F"/>
    <w:rsid w:val="6E79DA27"/>
    <w:rsid w:val="6EF6FCE0"/>
    <w:rsid w:val="77FD8E5C"/>
    <w:rsid w:val="78AC6806"/>
    <w:rsid w:val="7BFFEF3C"/>
    <w:rsid w:val="7DEB269A"/>
    <w:rsid w:val="A7BFA26D"/>
    <w:rsid w:val="A7DF1BBB"/>
    <w:rsid w:val="B3DF6390"/>
    <w:rsid w:val="B7F7688B"/>
    <w:rsid w:val="B9FD57F9"/>
    <w:rsid w:val="BDE55824"/>
    <w:rsid w:val="C7E7DB8C"/>
    <w:rsid w:val="CFFC304C"/>
    <w:rsid w:val="D7FB4F53"/>
    <w:rsid w:val="DB7D6FCC"/>
    <w:rsid w:val="DFFF3C54"/>
    <w:rsid w:val="EBBC95CD"/>
    <w:rsid w:val="F1C36022"/>
    <w:rsid w:val="F5756C61"/>
    <w:rsid w:val="F62F0F3F"/>
    <w:rsid w:val="F98F424C"/>
    <w:rsid w:val="FABE99D2"/>
    <w:rsid w:val="FEDFE997"/>
    <w:rsid w:val="FF77B104"/>
    <w:rsid w:val="FFA87CCB"/>
    <w:rsid w:val="FFB65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qFormat/>
    <w:uiPriority w:val="0"/>
    <w:pPr>
      <w:jc w:val="left"/>
    </w:pPr>
  </w:style>
  <w:style w:type="paragraph" w:styleId="12">
    <w:name w:val="Body Text"/>
    <w:basedOn w:val="1"/>
    <w:link w:val="41"/>
    <w:autoRedefine/>
    <w:unhideWhenUsed/>
    <w:qFormat/>
    <w:uiPriority w:val="0"/>
    <w:pPr>
      <w:spacing w:after="120"/>
    </w:pPr>
    <w:rPr>
      <w:rFonts w:asciiTheme="minorHAnsi" w:hAnsiTheme="minorHAnsi" w:eastAsiaTheme="minorEastAsia" w:cstheme="minorBidi"/>
    </w:rPr>
  </w:style>
  <w:style w:type="paragraph" w:styleId="13">
    <w:name w:val="footer"/>
    <w:basedOn w:val="1"/>
    <w:link w:val="44"/>
    <w:semiHidden/>
    <w:unhideWhenUsed/>
    <w:qFormat/>
    <w:uiPriority w:val="99"/>
    <w:pPr>
      <w:tabs>
        <w:tab w:val="center" w:pos="4153"/>
        <w:tab w:val="right" w:pos="8306"/>
      </w:tabs>
      <w:snapToGrid w:val="0"/>
      <w:jc w:val="left"/>
    </w:pPr>
    <w:rPr>
      <w:sz w:val="18"/>
      <w:szCs w:val="18"/>
    </w:rPr>
  </w:style>
  <w:style w:type="paragraph" w:styleId="14">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Body Text 2"/>
    <w:basedOn w:val="1"/>
    <w:link w:val="42"/>
    <w:autoRedefine/>
    <w:unhideWhenUsed/>
    <w:qFormat/>
    <w:uiPriority w:val="99"/>
    <w:pPr>
      <w:spacing w:line="360" w:lineRule="auto"/>
      <w:ind w:firstLine="480" w:firstLineChars="200"/>
      <w:jc w:val="left"/>
    </w:pPr>
    <w:rPr>
      <w:rFonts w:ascii="宋体" w:hAnsi="宋体" w:cs="宋体"/>
      <w:sz w:val="24"/>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qFormat/>
    <w:uiPriority w:val="0"/>
    <w:rPr>
      <w:sz w:val="21"/>
      <w:szCs w:val="21"/>
    </w:rPr>
  </w:style>
  <w:style w:type="character" w:customStyle="1" w:styleId="22">
    <w:name w:val="标题 1 Char"/>
    <w:basedOn w:val="20"/>
    <w:link w:val="2"/>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Char"/>
    <w:basedOn w:val="20"/>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Char"/>
    <w:basedOn w:val="20"/>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Char"/>
    <w:basedOn w:val="20"/>
    <w:link w:val="5"/>
    <w:semiHidden/>
    <w:qFormat/>
    <w:uiPriority w:val="9"/>
    <w:rPr>
      <w:rFonts w:cstheme="majorBidi"/>
      <w:color w:val="2F5597" w:themeColor="accent1" w:themeShade="BF"/>
      <w:sz w:val="28"/>
      <w:szCs w:val="28"/>
    </w:rPr>
  </w:style>
  <w:style w:type="character" w:customStyle="1" w:styleId="26">
    <w:name w:val="标题 5 Char"/>
    <w:basedOn w:val="20"/>
    <w:link w:val="6"/>
    <w:semiHidden/>
    <w:qFormat/>
    <w:uiPriority w:val="9"/>
    <w:rPr>
      <w:rFonts w:cstheme="majorBidi"/>
      <w:color w:val="2F5597" w:themeColor="accent1" w:themeShade="BF"/>
      <w:sz w:val="24"/>
      <w:szCs w:val="24"/>
    </w:rPr>
  </w:style>
  <w:style w:type="character" w:customStyle="1" w:styleId="27">
    <w:name w:val="标题 6 Char"/>
    <w:basedOn w:val="20"/>
    <w:link w:val="7"/>
    <w:semiHidden/>
    <w:qFormat/>
    <w:uiPriority w:val="9"/>
    <w:rPr>
      <w:rFonts w:cstheme="majorBidi"/>
      <w:b/>
      <w:bCs/>
      <w:color w:val="2F5597" w:themeColor="accent1" w:themeShade="BF"/>
    </w:rPr>
  </w:style>
  <w:style w:type="character" w:customStyle="1" w:styleId="28">
    <w:name w:val="标题 7 Char"/>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Char"/>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Char"/>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Char"/>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Char"/>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0"/>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明显引用 Char"/>
    <w:basedOn w:val="20"/>
    <w:link w:val="37"/>
    <w:qFormat/>
    <w:uiPriority w:val="30"/>
    <w:rPr>
      <w:i/>
      <w:iCs/>
      <w:color w:val="2F5597" w:themeColor="accent1" w:themeShade="BF"/>
    </w:rPr>
  </w:style>
  <w:style w:type="character" w:customStyle="1" w:styleId="39">
    <w:name w:val="明显参考1"/>
    <w:basedOn w:val="20"/>
    <w:qFormat/>
    <w:uiPriority w:val="32"/>
    <w:rPr>
      <w:b/>
      <w:bCs/>
      <w:smallCaps/>
      <w:color w:val="2F5597" w:themeColor="accent1" w:themeShade="BF"/>
      <w:spacing w:val="5"/>
    </w:rPr>
  </w:style>
  <w:style w:type="character" w:customStyle="1" w:styleId="40">
    <w:name w:val="批注文字 Char"/>
    <w:basedOn w:val="20"/>
    <w:link w:val="11"/>
    <w:qFormat/>
    <w:uiPriority w:val="0"/>
    <w:rPr>
      <w:rFonts w:ascii="Times New Roman" w:hAnsi="Times New Roman" w:eastAsia="宋体" w:cs="Times New Roman"/>
      <w:szCs w:val="24"/>
    </w:rPr>
  </w:style>
  <w:style w:type="character" w:customStyle="1" w:styleId="41">
    <w:name w:val="正文文本 Char"/>
    <w:basedOn w:val="20"/>
    <w:link w:val="12"/>
    <w:qFormat/>
    <w:uiPriority w:val="0"/>
    <w:rPr>
      <w:szCs w:val="24"/>
    </w:rPr>
  </w:style>
  <w:style w:type="character" w:customStyle="1" w:styleId="42">
    <w:name w:val="正文文本 2 Char"/>
    <w:basedOn w:val="20"/>
    <w:link w:val="16"/>
    <w:qFormat/>
    <w:uiPriority w:val="99"/>
    <w:rPr>
      <w:rFonts w:ascii="宋体" w:hAnsi="宋体" w:eastAsia="宋体" w:cs="宋体"/>
      <w:sz w:val="24"/>
      <w:szCs w:val="24"/>
    </w:rPr>
  </w:style>
  <w:style w:type="character" w:customStyle="1" w:styleId="43">
    <w:name w:val="页眉 Char"/>
    <w:basedOn w:val="20"/>
    <w:link w:val="14"/>
    <w:semiHidden/>
    <w:qFormat/>
    <w:uiPriority w:val="99"/>
    <w:rPr>
      <w:kern w:val="2"/>
      <w:sz w:val="18"/>
      <w:szCs w:val="18"/>
    </w:rPr>
  </w:style>
  <w:style w:type="character" w:customStyle="1" w:styleId="44">
    <w:name w:val="页脚 Char"/>
    <w:basedOn w:val="20"/>
    <w:link w:val="1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2353</Words>
  <Characters>2422</Characters>
  <Lines>34</Lines>
  <Paragraphs>9</Paragraphs>
  <TotalTime>24</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2025-03-12T06:54:00Z</dcterms:created>
  <dc:creator>yufeng zhou</dc:creator>
  <cp:lastModifiedBy>小黄</cp:lastModifiedBy>
  <dcterms:modified xsi:type="dcterms:W3CDTF">2025-06-16T02:33:32Z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A113D0A74FBA4681AFF7BEC6D81DAA55_13</vt:lpwstr>
  </property>
  <property fmtid="{D5CDD505-2E9C-101B-9397-08002B2CF9AE}" pid="4" name="KSOTemplateDocerSaveRecord">
    <vt:lpwstr>eyJoZGlkIjoiYTBmYmI5NjNjNjY0YTcyNWRjOTFkM2VmZjM0OWUzMzMiLCJ1c2VySWQiOiI0Nzk5MTA1ODkifQ==</vt:lpwstr>
  </property>
</Properties>
</file>