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</w:p>
    <w:tbl>
      <w:tblPr>
        <w:tblStyle w:val="6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95"/>
        <w:gridCol w:w="681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4" w:type="dxa"/>
          </w:tcPr>
          <w:p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895" w:type="dxa"/>
          </w:tcPr>
          <w:p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医用耗材名称</w:t>
            </w:r>
          </w:p>
        </w:tc>
        <w:tc>
          <w:tcPr>
            <w:tcW w:w="6810" w:type="dxa"/>
          </w:tcPr>
          <w:p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215" w:type="dxa"/>
          </w:tcPr>
          <w:p>
            <w:pPr>
              <w:spacing w:before="156" w:beforeLines="50"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4" w:type="dxa"/>
          </w:tcPr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895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热敏胶片</w:t>
            </w:r>
          </w:p>
        </w:tc>
        <w:tc>
          <w:tcPr>
            <w:tcW w:w="6810" w:type="dxa"/>
          </w:tcPr>
          <w:p>
            <w:pPr>
              <w:pStyle w:val="2"/>
              <w:spacing w:before="0" w:after="0" w:line="24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、热敏胶片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医用干式热敏胶片以聚酯片基为支持体，双面分别涂布成像层和保护层。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▲胶片成像方式：热敏成像。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厚度：≥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μm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胶片打印分辨率：≥300。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▲胶片灰阶：≥14bit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保质期：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24个月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基材本身透射密度：0.08 - 0.25D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发色最大黑密度：≥1.7D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发色最小黑密度：≦0.35D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片环保认证：不含有害物质（铅，镉，汞，六价铬，多溴联苯和多溴二苯醚）（需提供第三方公司的检测报告）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需求数量：24000张；服务期：二年。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pStyle w:val="8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自助打印系统软件</w:t>
            </w:r>
          </w:p>
          <w:p>
            <w:pPr>
              <w:pStyle w:val="8"/>
              <w:widowControl w:val="0"/>
              <w:numPr>
                <w:ilvl w:val="-1"/>
                <w:numId w:val="0"/>
              </w:numPr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1.报告采集：支持通过接口实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施院内所有报告、单据的数据采集并与患者信息进行关联，存储在院内服务器。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影像采集：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支持通过接口实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院内影像科室的影像数据采集并通过影像识别技术，将影像数据与患者信息进行关联，存储在院内服务器。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zh-TW" w:eastAsia="zh-CN"/>
              </w:rPr>
              <w:t>报告分流：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支持按病区、门诊与住院、临床科室等条件进行报告分流，以满足各类定制需求。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按终端统计印量：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支持按日期、机型、终端、打印机、文件类型、尺寸、介质等自定义组合条件进行印量统计。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按医技科室统计印量：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支持按日期、医技科室、来源、报告/胶片类别、介质、尺寸等自定义组合条件进行印量统计。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印量明细查询：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支持按日期、科室、报告类别等条件查询报告明细，包括科室、报告类别、颜色、打印终端、介质、尺寸、打印时间等信息。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补打功能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对打印未成功、或者打印质量出问题等报告进行补打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查询打印信息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通过科室、打印状态、识别状态、接收时间段、患者姓名、取片凭证等信息查询打印作业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，并支持按需选择指定打印机进行批量报告打印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直接输出功能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支持医生站发送的报告，无需条码，直接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选择指定打印机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打印出来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判断报告重复功能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支持在一定时间内发送第二份报告可以覆盖前一份报告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按需直打功能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支持根据病患条码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卡号，直接选择相应的打印机打印报告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打印机状态监控功能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接收打印终端上报的打印机状态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，并通过数据交换系统上传状态数据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，方便管理员监控各终端运行状态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剩余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碳粉量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监控功能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监控打印终端打印机的剩余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碳粉量。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黑白与彩色区分统计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服务器区分黑白打印、彩色打印，方便统计印量与业务服务管理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支持多种途径获取报告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支持院内条码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社保卡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院内就诊卡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电子健康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二维码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/身份证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.支持多规格多材质：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支持A4/A5/B5/16开等多规格打印、支持相纸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/普通纸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TW"/>
              </w:rPr>
              <w:t>多种材质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.终端提示语自定义：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支持WEB端管理终端软件提示语内容。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.患者姓名匿名化：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支持终端患者姓名隐藏规则配置。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.报告水印嵌入：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支持在报告上按科室自定义添加水印、引导语等信息。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权限管理：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可根据不同用户角色对查询系统进行权限配置。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前置服务：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通过与前置机的接口，实现院外数据请求，院内数据推送的功能。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▲系统连接：无缝连接医院RIS/PACS系统。</w:t>
            </w:r>
          </w:p>
          <w:p>
            <w:pPr>
              <w:pStyle w:val="9"/>
              <w:widowControl/>
              <w:snapToGrid w:val="0"/>
              <w:spacing w:line="360" w:lineRule="auto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电子胶片：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支持诊断报告上生成二维码，可不安装任何APP软件，通过移动设备扫描二维码获取该患者的电子报告和胶片，实现电子云胶片功能。</w:t>
            </w:r>
          </w:p>
          <w:p>
            <w:pPr>
              <w:pStyle w:val="9"/>
              <w:widowControl/>
              <w:snapToGrid w:val="0"/>
              <w:spacing w:line="360" w:lineRule="auto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自助打印系统硬件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1.操作系统：支持Windows 7/8/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/2000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XP,32位/64位系统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2.▲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英寸触摸显示屏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内存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硬盘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500GB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5.打印机(报告打印)：黑白激光打印机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打印机(报告打印)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最大打印分辨率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≥600x600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7.打印机(胶片打印)最大打印分辨率：≥300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打印机介质：热敏胶片</w:t>
            </w:r>
          </w:p>
          <w:p>
            <w:pPr>
              <w:pStyle w:val="9"/>
              <w:widowControl/>
              <w:snapToGrid w:val="0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胶片打印规格：支持打印四个规格（8x10英寸、10x12英寸、11x14英寸、14x17英寸），胶片打印速度：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14X17 英寸 ≥ 50 张/小时；11X14 英寸 ≥ 64 张/小时；8X10 英寸 ≥79 张/小时；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胶片打印机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片盒容量（胶片）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张胶片。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扫描功能：持条形码、二维码扫描。</w:t>
            </w:r>
          </w:p>
          <w:p>
            <w:pPr>
              <w:pStyle w:val="2"/>
              <w:spacing w:before="0" w:after="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1567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读卡功能：支持社保卡、就诊卡（磁条卡/插入式/非接式）</w:t>
            </w:r>
            <w:bookmarkEnd w:id="0"/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zh-TW"/>
              </w:rPr>
              <w:t>13.打印设备数量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4台。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/>
                <w:b/>
                <w:bCs w:val="0"/>
                <w:lang w:val="zh-TW" w:eastAsia="zh-CN"/>
              </w:rPr>
            </w:pPr>
            <w:r>
              <w:rPr>
                <w:rFonts w:hint="eastAsia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自助打印</w:t>
            </w:r>
            <w:r>
              <w:rPr>
                <w:rFonts w:hint="eastAsia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系统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（含软硬</w:t>
            </w:r>
            <w:r>
              <w:rPr>
                <w:rFonts w:hint="eastAsia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件）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，不另外报价。</w:t>
            </w: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15" w:type="dxa"/>
          </w:tcPr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3B3B4"/>
    <w:multiLevelType w:val="singleLevel"/>
    <w:tmpl w:val="CD53B3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0DF7160"/>
    <w:rsid w:val="01F86CD9"/>
    <w:rsid w:val="02133599"/>
    <w:rsid w:val="02D432A2"/>
    <w:rsid w:val="031A67DB"/>
    <w:rsid w:val="03200295"/>
    <w:rsid w:val="037800D1"/>
    <w:rsid w:val="03A3454D"/>
    <w:rsid w:val="03EA43FF"/>
    <w:rsid w:val="04AE335F"/>
    <w:rsid w:val="056B6662"/>
    <w:rsid w:val="05C23886"/>
    <w:rsid w:val="06A50AB1"/>
    <w:rsid w:val="076F14A0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BF65382"/>
    <w:rsid w:val="0C62191E"/>
    <w:rsid w:val="0C8F646D"/>
    <w:rsid w:val="0CE642FD"/>
    <w:rsid w:val="0D3F4AAC"/>
    <w:rsid w:val="0DB937C0"/>
    <w:rsid w:val="0DBF4B4E"/>
    <w:rsid w:val="0E19600D"/>
    <w:rsid w:val="0E7D5ADD"/>
    <w:rsid w:val="0E835B28"/>
    <w:rsid w:val="0E8A0CB9"/>
    <w:rsid w:val="0F0C3DC3"/>
    <w:rsid w:val="0F900551"/>
    <w:rsid w:val="0FB51D65"/>
    <w:rsid w:val="0FBD1CE9"/>
    <w:rsid w:val="0FCB77DB"/>
    <w:rsid w:val="0FD527B5"/>
    <w:rsid w:val="12541D09"/>
    <w:rsid w:val="12C7072D"/>
    <w:rsid w:val="12D9220E"/>
    <w:rsid w:val="132F589D"/>
    <w:rsid w:val="136D67F0"/>
    <w:rsid w:val="14185E60"/>
    <w:rsid w:val="143C2A55"/>
    <w:rsid w:val="146401FE"/>
    <w:rsid w:val="147F6F03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AB414BB"/>
    <w:rsid w:val="1BE7774A"/>
    <w:rsid w:val="1C163B8C"/>
    <w:rsid w:val="1C163F2F"/>
    <w:rsid w:val="1C463AA5"/>
    <w:rsid w:val="1C6074FD"/>
    <w:rsid w:val="1CF658AB"/>
    <w:rsid w:val="1D52348A"/>
    <w:rsid w:val="1D6628F1"/>
    <w:rsid w:val="1E220F0E"/>
    <w:rsid w:val="1E7B061E"/>
    <w:rsid w:val="1F686DF4"/>
    <w:rsid w:val="1F6B0692"/>
    <w:rsid w:val="1F971487"/>
    <w:rsid w:val="1FF266BE"/>
    <w:rsid w:val="203B62B7"/>
    <w:rsid w:val="203E1903"/>
    <w:rsid w:val="2080016D"/>
    <w:rsid w:val="212128B9"/>
    <w:rsid w:val="2136082C"/>
    <w:rsid w:val="216C24A0"/>
    <w:rsid w:val="21A34113"/>
    <w:rsid w:val="21B31E7D"/>
    <w:rsid w:val="22AA3280"/>
    <w:rsid w:val="22F33DF7"/>
    <w:rsid w:val="23270D74"/>
    <w:rsid w:val="23C54FF7"/>
    <w:rsid w:val="246833F2"/>
    <w:rsid w:val="259E7E2D"/>
    <w:rsid w:val="25CB1E8B"/>
    <w:rsid w:val="25D16D75"/>
    <w:rsid w:val="269360CA"/>
    <w:rsid w:val="26F86CAF"/>
    <w:rsid w:val="26FB22FC"/>
    <w:rsid w:val="271639C1"/>
    <w:rsid w:val="27932534"/>
    <w:rsid w:val="293935AF"/>
    <w:rsid w:val="2A1D6A2D"/>
    <w:rsid w:val="2A4346E5"/>
    <w:rsid w:val="2AA50EFC"/>
    <w:rsid w:val="2B753823"/>
    <w:rsid w:val="2BB05DAB"/>
    <w:rsid w:val="2BC52ED8"/>
    <w:rsid w:val="2BCB7E65"/>
    <w:rsid w:val="2C70553A"/>
    <w:rsid w:val="2D4413D2"/>
    <w:rsid w:val="2D6055AE"/>
    <w:rsid w:val="2DCA6ECC"/>
    <w:rsid w:val="2E76670C"/>
    <w:rsid w:val="2EAC6087"/>
    <w:rsid w:val="2EF266DA"/>
    <w:rsid w:val="2EFA733D"/>
    <w:rsid w:val="2F542EF1"/>
    <w:rsid w:val="2F61560E"/>
    <w:rsid w:val="2FF40230"/>
    <w:rsid w:val="2FFB336C"/>
    <w:rsid w:val="3014442E"/>
    <w:rsid w:val="30DD6F16"/>
    <w:rsid w:val="30E32226"/>
    <w:rsid w:val="3207249C"/>
    <w:rsid w:val="3293272B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5E0625"/>
    <w:rsid w:val="357E45FE"/>
    <w:rsid w:val="35FE3BB6"/>
    <w:rsid w:val="360B0081"/>
    <w:rsid w:val="360D204B"/>
    <w:rsid w:val="366B38D1"/>
    <w:rsid w:val="36D6243D"/>
    <w:rsid w:val="3784633D"/>
    <w:rsid w:val="380A4A95"/>
    <w:rsid w:val="387838C0"/>
    <w:rsid w:val="38D96215"/>
    <w:rsid w:val="38E5105E"/>
    <w:rsid w:val="3902776C"/>
    <w:rsid w:val="390B0AC4"/>
    <w:rsid w:val="3962620A"/>
    <w:rsid w:val="397C3FDE"/>
    <w:rsid w:val="39A71E6F"/>
    <w:rsid w:val="3A2B2AA0"/>
    <w:rsid w:val="3A371445"/>
    <w:rsid w:val="3A737115"/>
    <w:rsid w:val="3A8802AD"/>
    <w:rsid w:val="3AA0348E"/>
    <w:rsid w:val="3AC70A1B"/>
    <w:rsid w:val="3AFE01B5"/>
    <w:rsid w:val="3B304812"/>
    <w:rsid w:val="3B365BA1"/>
    <w:rsid w:val="3B7364AD"/>
    <w:rsid w:val="3BD72EE0"/>
    <w:rsid w:val="3BE0713C"/>
    <w:rsid w:val="3BFF2436"/>
    <w:rsid w:val="3C1635F6"/>
    <w:rsid w:val="3C3E4905"/>
    <w:rsid w:val="3C4A1903"/>
    <w:rsid w:val="3D0C6BB9"/>
    <w:rsid w:val="3DC85242"/>
    <w:rsid w:val="3EC37677"/>
    <w:rsid w:val="3F1B465A"/>
    <w:rsid w:val="3F20694C"/>
    <w:rsid w:val="3FC27A03"/>
    <w:rsid w:val="3FE060DB"/>
    <w:rsid w:val="3FFF2A05"/>
    <w:rsid w:val="40073668"/>
    <w:rsid w:val="402027BB"/>
    <w:rsid w:val="40456C7E"/>
    <w:rsid w:val="406A7D32"/>
    <w:rsid w:val="407857B3"/>
    <w:rsid w:val="40A52CD2"/>
    <w:rsid w:val="40B97058"/>
    <w:rsid w:val="40DF47E2"/>
    <w:rsid w:val="4168282C"/>
    <w:rsid w:val="41B7149B"/>
    <w:rsid w:val="423E39B5"/>
    <w:rsid w:val="42FC147E"/>
    <w:rsid w:val="43144A19"/>
    <w:rsid w:val="432A7E49"/>
    <w:rsid w:val="43340C18"/>
    <w:rsid w:val="43672D9B"/>
    <w:rsid w:val="43DE2931"/>
    <w:rsid w:val="43EA577A"/>
    <w:rsid w:val="440C3942"/>
    <w:rsid w:val="45207111"/>
    <w:rsid w:val="452B1BA6"/>
    <w:rsid w:val="4605689B"/>
    <w:rsid w:val="465B295F"/>
    <w:rsid w:val="46E6047B"/>
    <w:rsid w:val="47132D5F"/>
    <w:rsid w:val="471C20EE"/>
    <w:rsid w:val="475402DA"/>
    <w:rsid w:val="476352F4"/>
    <w:rsid w:val="47C85DD2"/>
    <w:rsid w:val="48D6451F"/>
    <w:rsid w:val="490948F4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A1A06"/>
    <w:rsid w:val="4FF05EC6"/>
    <w:rsid w:val="5050164A"/>
    <w:rsid w:val="509B0528"/>
    <w:rsid w:val="50AC44E3"/>
    <w:rsid w:val="50B825FC"/>
    <w:rsid w:val="50FB0FC7"/>
    <w:rsid w:val="5144471C"/>
    <w:rsid w:val="51AC0513"/>
    <w:rsid w:val="51D3784E"/>
    <w:rsid w:val="524E5126"/>
    <w:rsid w:val="52AA4A52"/>
    <w:rsid w:val="52E00474"/>
    <w:rsid w:val="52E53A20"/>
    <w:rsid w:val="53114AD1"/>
    <w:rsid w:val="53157170"/>
    <w:rsid w:val="534452E8"/>
    <w:rsid w:val="53476745"/>
    <w:rsid w:val="535B5D4C"/>
    <w:rsid w:val="5487500F"/>
    <w:rsid w:val="55346855"/>
    <w:rsid w:val="557B4484"/>
    <w:rsid w:val="55BB0D24"/>
    <w:rsid w:val="55E57F56"/>
    <w:rsid w:val="56C15EAB"/>
    <w:rsid w:val="57460AC2"/>
    <w:rsid w:val="57882E88"/>
    <w:rsid w:val="57AC4DC9"/>
    <w:rsid w:val="57FD73D2"/>
    <w:rsid w:val="5826396C"/>
    <w:rsid w:val="586D09FC"/>
    <w:rsid w:val="58FD4664"/>
    <w:rsid w:val="590D5D3B"/>
    <w:rsid w:val="5A292701"/>
    <w:rsid w:val="5B7C2D04"/>
    <w:rsid w:val="5C1178F0"/>
    <w:rsid w:val="5C447CC6"/>
    <w:rsid w:val="5DC34C1A"/>
    <w:rsid w:val="5DDB1F64"/>
    <w:rsid w:val="5E341674"/>
    <w:rsid w:val="5E732273"/>
    <w:rsid w:val="5EFC6636"/>
    <w:rsid w:val="5F30008D"/>
    <w:rsid w:val="5F3C3851"/>
    <w:rsid w:val="5F463D55"/>
    <w:rsid w:val="5F8E3006"/>
    <w:rsid w:val="5F9F5213"/>
    <w:rsid w:val="60116927"/>
    <w:rsid w:val="60F33A68"/>
    <w:rsid w:val="615728C1"/>
    <w:rsid w:val="61970898"/>
    <w:rsid w:val="61D05B58"/>
    <w:rsid w:val="6271733B"/>
    <w:rsid w:val="637F0F20"/>
    <w:rsid w:val="639D7CBB"/>
    <w:rsid w:val="63D062E3"/>
    <w:rsid w:val="644665A5"/>
    <w:rsid w:val="646F3406"/>
    <w:rsid w:val="648570CD"/>
    <w:rsid w:val="64C64FF0"/>
    <w:rsid w:val="650A312E"/>
    <w:rsid w:val="651D5558"/>
    <w:rsid w:val="65711400"/>
    <w:rsid w:val="65F31498"/>
    <w:rsid w:val="66106E6A"/>
    <w:rsid w:val="66533029"/>
    <w:rsid w:val="66747DFB"/>
    <w:rsid w:val="667E5B82"/>
    <w:rsid w:val="66800806"/>
    <w:rsid w:val="66A01F9C"/>
    <w:rsid w:val="66D41C46"/>
    <w:rsid w:val="672C55DE"/>
    <w:rsid w:val="6744501E"/>
    <w:rsid w:val="67550FD9"/>
    <w:rsid w:val="67D208FD"/>
    <w:rsid w:val="68127AAE"/>
    <w:rsid w:val="683D7864"/>
    <w:rsid w:val="685A5456"/>
    <w:rsid w:val="691E189E"/>
    <w:rsid w:val="697D34F2"/>
    <w:rsid w:val="69D63F27"/>
    <w:rsid w:val="69EA352F"/>
    <w:rsid w:val="6A2904FB"/>
    <w:rsid w:val="6A42336B"/>
    <w:rsid w:val="6AF208ED"/>
    <w:rsid w:val="6B286A04"/>
    <w:rsid w:val="6B2934A7"/>
    <w:rsid w:val="6CB542C8"/>
    <w:rsid w:val="6D6B4986"/>
    <w:rsid w:val="6E2039C3"/>
    <w:rsid w:val="6EE21683"/>
    <w:rsid w:val="6F92269E"/>
    <w:rsid w:val="6FBB2619"/>
    <w:rsid w:val="700F0193"/>
    <w:rsid w:val="710C022E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6A16877"/>
    <w:rsid w:val="778B00FF"/>
    <w:rsid w:val="779C67B0"/>
    <w:rsid w:val="78FB3062"/>
    <w:rsid w:val="79386064"/>
    <w:rsid w:val="79420C91"/>
    <w:rsid w:val="79865022"/>
    <w:rsid w:val="79C63670"/>
    <w:rsid w:val="79D2440E"/>
    <w:rsid w:val="79E166FC"/>
    <w:rsid w:val="7A4B626B"/>
    <w:rsid w:val="7A9122B0"/>
    <w:rsid w:val="7A9B0984"/>
    <w:rsid w:val="7AE5185F"/>
    <w:rsid w:val="7B102C4F"/>
    <w:rsid w:val="7B735A7A"/>
    <w:rsid w:val="7BD302C6"/>
    <w:rsid w:val="7C4116D4"/>
    <w:rsid w:val="7C490589"/>
    <w:rsid w:val="7C541407"/>
    <w:rsid w:val="7CC37B0F"/>
    <w:rsid w:val="7CC77E2B"/>
    <w:rsid w:val="7CEA58C8"/>
    <w:rsid w:val="7D643769"/>
    <w:rsid w:val="7D8775BA"/>
    <w:rsid w:val="7D8B3BA7"/>
    <w:rsid w:val="7DF369FE"/>
    <w:rsid w:val="7E026C41"/>
    <w:rsid w:val="7E1A042F"/>
    <w:rsid w:val="7E9C52E7"/>
    <w:rsid w:val="7F1629A4"/>
    <w:rsid w:val="7F36240D"/>
    <w:rsid w:val="7F596B48"/>
    <w:rsid w:val="7FCC7507"/>
    <w:rsid w:val="DF0D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20" w:after="120"/>
      <w:jc w:val="center"/>
      <w:outlineLvl w:val="1"/>
    </w:pPr>
    <w:rPr>
      <w:rFonts w:ascii="宋体" w:hAnsi="宋体"/>
      <w:bCs/>
      <w:sz w:val="30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9">
    <w:name w:val="List Paragraph1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1807</Words>
  <Characters>2046</Characters>
  <Lines>0</Lines>
  <Paragraphs>0</Paragraphs>
  <TotalTime>1</TotalTime>
  <ScaleCrop>false</ScaleCrop>
  <LinksUpToDate>false</LinksUpToDate>
  <CharactersWithSpaces>2068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2024-03-07T14:59:00Z</dcterms:created>
  <dc:creator>user</dc:creator>
  <cp:lastModifiedBy>Catherine</cp:lastModifiedBy>
  <cp:lastPrinted>2024-11-27T09:38:00Z</cp:lastPrinted>
  <dcterms:modified xsi:type="dcterms:W3CDTF">2025-06-19T18:50:44Z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eyJoZGlkIjoiZDlkY2NhNzYyNGE2NmIwNjhhN2MyOGEyNDY2YTUzNzMiLCJ1c2VySWQiOiIxMjI2NDgzMDQ3In0=</vt:lpwstr>
  </property>
</Properties>
</file>