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34" w:lineRule="atLeast"/>
        <w:rPr>
          <w:rFonts w:hint="eastAsia" w:ascii="Helvetica Neue Bold" w:hAnsi="Helvetica Neue Bold" w:eastAsia="等线" w:cs="Helvetica Neue Bold"/>
          <w:b/>
          <w:bCs/>
          <w:color w:val="05073B"/>
          <w:sz w:val="32"/>
          <w:szCs w:val="32"/>
        </w:rPr>
      </w:pPr>
    </w:p>
    <w:p>
      <w:pPr>
        <w:widowControl/>
        <w:spacing w:line="34" w:lineRule="atLeast"/>
        <w:jc w:val="center"/>
        <w:rPr>
          <w:rFonts w:ascii="宋体" w:hAnsi="宋体" w:cs="PingFang-SC-Regular"/>
          <w:color w:val="000000"/>
          <w:kern w:val="0"/>
          <w:sz w:val="30"/>
          <w:szCs w:val="30"/>
        </w:rPr>
      </w:pPr>
      <w:r>
        <w:rPr>
          <w:rFonts w:hint="eastAsia" w:ascii="宋体" w:hAnsi="宋体" w:cs="宋体"/>
          <w:kern w:val="0"/>
          <w:sz w:val="36"/>
          <w:szCs w:val="36"/>
        </w:rPr>
        <w:t>超融合数据平台建设需求</w:t>
      </w:r>
    </w:p>
    <w:tbl>
      <w:tblPr>
        <w:tblStyle w:val="8"/>
        <w:tblpPr w:leftFromText="180" w:rightFromText="180" w:vertAnchor="text" w:horzAnchor="page" w:tblpX="1897" w:tblpY="4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48"/>
        <w:gridCol w:w="4560"/>
        <w:gridCol w:w="8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b/>
              </w:rPr>
            </w:pPr>
            <w:r>
              <w:rPr>
                <w:rFonts w:hint="eastAsia"/>
                <w:b/>
              </w:rPr>
              <w:t>序号</w:t>
            </w:r>
          </w:p>
        </w:tc>
        <w:tc>
          <w:tcPr>
            <w:tcW w:w="1548" w:type="dxa"/>
            <w:vAlign w:val="center"/>
          </w:tcPr>
          <w:p>
            <w:pPr>
              <w:jc w:val="center"/>
              <w:rPr>
                <w:b/>
              </w:rPr>
            </w:pPr>
            <w:r>
              <w:rPr>
                <w:rFonts w:hint="eastAsia"/>
                <w:b/>
              </w:rPr>
              <w:t>内容</w:t>
            </w:r>
          </w:p>
        </w:tc>
        <w:tc>
          <w:tcPr>
            <w:tcW w:w="4560" w:type="dxa"/>
            <w:vAlign w:val="center"/>
          </w:tcPr>
          <w:p>
            <w:pPr>
              <w:rPr>
                <w:b/>
              </w:rPr>
            </w:pPr>
            <w:r>
              <w:rPr>
                <w:rFonts w:hint="eastAsia"/>
                <w:b/>
              </w:rPr>
              <w:t>配置</w:t>
            </w:r>
          </w:p>
        </w:tc>
        <w:tc>
          <w:tcPr>
            <w:tcW w:w="800" w:type="dxa"/>
            <w:vAlign w:val="center"/>
          </w:tcPr>
          <w:p>
            <w:pPr>
              <w:jc w:val="center"/>
              <w:rPr>
                <w:b/>
              </w:rPr>
            </w:pPr>
            <w:r>
              <w:rPr>
                <w:rFonts w:hint="eastAsia"/>
                <w:b/>
              </w:rPr>
              <w:t>单位</w:t>
            </w:r>
          </w:p>
        </w:tc>
        <w:tc>
          <w:tcPr>
            <w:tcW w:w="750" w:type="dxa"/>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pPr>
            <w:r>
              <w:rPr>
                <w:rFonts w:hint="eastAsia"/>
              </w:rPr>
              <w:t>1</w:t>
            </w:r>
          </w:p>
        </w:tc>
        <w:tc>
          <w:tcPr>
            <w:tcW w:w="1548" w:type="dxa"/>
            <w:vAlign w:val="center"/>
          </w:tcPr>
          <w:p>
            <w:pPr>
              <w:jc w:val="center"/>
            </w:pPr>
            <w:r>
              <w:rPr>
                <w:rFonts w:hint="eastAsia"/>
              </w:rPr>
              <w:t>硬件要求</w:t>
            </w:r>
          </w:p>
        </w:tc>
        <w:tc>
          <w:tcPr>
            <w:tcW w:w="4560" w:type="dxa"/>
          </w:tcPr>
          <w:p>
            <w:pPr>
              <w:numPr>
                <w:ilvl w:val="0"/>
                <w:numId w:val="1"/>
              </w:numPr>
            </w:pPr>
            <w:r>
              <w:rPr>
                <w:rFonts w:hint="default"/>
                <w:woUserID w:val="1"/>
              </w:rPr>
              <w:t>基于国产C86架构，处理器基本频率</w:t>
            </w:r>
            <w:r>
              <w:rPr>
                <w:rFonts w:hint="eastAsia"/>
                <w:woUserID w:val="1"/>
              </w:rPr>
              <w:t>≥</w:t>
            </w:r>
            <w:r>
              <w:rPr>
                <w:rFonts w:hint="default"/>
                <w:woUserID w:val="1"/>
              </w:rPr>
              <w:t>2.7GHz，核心数</w:t>
            </w:r>
            <w:bookmarkStart w:id="0" w:name="_GoBack"/>
            <w:r>
              <w:rPr>
                <w:rFonts w:hint="eastAsia"/>
                <w:woUserID w:val="1"/>
              </w:rPr>
              <w:t>≥</w:t>
            </w:r>
            <w:bookmarkEnd w:id="0"/>
            <w:r>
              <w:rPr>
                <w:rFonts w:hint="default"/>
                <w:woUserID w:val="1"/>
              </w:rPr>
              <w:t>128核，支持超线程技术，缓存</w:t>
            </w:r>
            <w:r>
              <w:rPr>
                <w:rFonts w:hint="eastAsia"/>
                <w:woUserID w:val="1"/>
              </w:rPr>
              <w:t>≥</w:t>
            </w:r>
            <w:r>
              <w:rPr>
                <w:rFonts w:hint="default"/>
                <w:woUserID w:val="1"/>
              </w:rPr>
              <w:t>256M。</w:t>
            </w:r>
          </w:p>
          <w:p>
            <w:pPr>
              <w:numPr>
                <w:ilvl w:val="0"/>
                <w:numId w:val="1"/>
              </w:numPr>
            </w:pPr>
            <w:r>
              <w:rPr>
                <w:rFonts w:hint="eastAsia"/>
              </w:rPr>
              <w:t>≥1T ECC DDR5内存。</w:t>
            </w:r>
          </w:p>
          <w:p>
            <w:pPr>
              <w:numPr>
                <w:ilvl w:val="0"/>
                <w:numId w:val="1"/>
              </w:numPr>
            </w:pPr>
            <w:r>
              <w:rPr>
                <w:rFonts w:hint="eastAsia"/>
              </w:rPr>
              <w:t>≥2块480G SSD。</w:t>
            </w:r>
          </w:p>
          <w:p>
            <w:pPr>
              <w:numPr>
                <w:ilvl w:val="0"/>
                <w:numId w:val="1"/>
              </w:numPr>
            </w:pPr>
            <w:r>
              <w:rPr>
                <w:rFonts w:hint="eastAsia"/>
              </w:rPr>
              <w:t>≥4个25G光口网卡并配置多模模块。</w:t>
            </w:r>
          </w:p>
          <w:p>
            <w:pPr>
              <w:numPr>
                <w:ilvl w:val="0"/>
                <w:numId w:val="1"/>
              </w:numPr>
            </w:pPr>
            <w:r>
              <w:rPr>
                <w:rFonts w:hint="eastAsia"/>
              </w:rPr>
              <w:t>raid卡支持≥PCIe 4.0 x8，支持12Gb/s数据传输速率。</w:t>
            </w:r>
          </w:p>
          <w:p>
            <w:pPr>
              <w:numPr>
                <w:ilvl w:val="0"/>
                <w:numId w:val="1"/>
              </w:numPr>
            </w:pPr>
            <w:r>
              <w:rPr>
                <w:rFonts w:hint="eastAsia"/>
              </w:rPr>
              <w:t>≥5年原厂软硬件维保服务。</w:t>
            </w:r>
          </w:p>
        </w:tc>
        <w:tc>
          <w:tcPr>
            <w:tcW w:w="800" w:type="dxa"/>
            <w:vAlign w:val="center"/>
          </w:tcPr>
          <w:p>
            <w:pPr>
              <w:jc w:val="center"/>
            </w:pPr>
            <w:r>
              <w:rPr>
                <w:rFonts w:hint="eastAsia"/>
              </w:rPr>
              <w:t>台</w:t>
            </w:r>
          </w:p>
        </w:tc>
        <w:tc>
          <w:tcPr>
            <w:tcW w:w="750"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pPr>
            <w:r>
              <w:rPr>
                <w:rFonts w:hint="eastAsia"/>
              </w:rPr>
              <w:t>2</w:t>
            </w:r>
          </w:p>
        </w:tc>
        <w:tc>
          <w:tcPr>
            <w:tcW w:w="1548" w:type="dxa"/>
            <w:vAlign w:val="center"/>
          </w:tcPr>
          <w:p>
            <w:pPr>
              <w:jc w:val="center"/>
            </w:pPr>
            <w:r>
              <w:rPr>
                <w:rFonts w:hint="eastAsia"/>
              </w:rPr>
              <w:t>可用存储</w:t>
            </w:r>
          </w:p>
          <w:p>
            <w:pPr>
              <w:jc w:val="center"/>
            </w:pPr>
            <w:r>
              <w:rPr>
                <w:rFonts w:hint="eastAsia"/>
              </w:rPr>
              <w:t>总容量</w:t>
            </w:r>
          </w:p>
        </w:tc>
        <w:tc>
          <w:tcPr>
            <w:tcW w:w="4560" w:type="dxa"/>
          </w:tcPr>
          <w:p>
            <w:r>
              <w:rPr>
                <w:rFonts w:hint="eastAsia"/>
              </w:rPr>
              <w:t>在超融合集群在双副本混合磁盘配置下：</w:t>
            </w:r>
          </w:p>
          <w:p>
            <w:r>
              <w:rPr>
                <w:rFonts w:hint="eastAsia"/>
              </w:rPr>
              <w:t>全闪存储空间实际总可用容量≥30TiB（双副本，NVMe全闪）；混闪存储空间实际总可用容量≥60TiB(双副本，缓存比例不低于1:10)；且支持在线扩展。</w:t>
            </w:r>
          </w:p>
        </w:tc>
        <w:tc>
          <w:tcPr>
            <w:tcW w:w="800" w:type="dxa"/>
            <w:vAlign w:val="center"/>
          </w:tcPr>
          <w:p>
            <w:pPr>
              <w:jc w:val="center"/>
            </w:pPr>
            <w:r>
              <w:rPr>
                <w:rFonts w:hint="eastAsia"/>
              </w:rPr>
              <w:t>项</w:t>
            </w:r>
          </w:p>
        </w:tc>
        <w:tc>
          <w:tcPr>
            <w:tcW w:w="750"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pPr>
            <w:r>
              <w:rPr>
                <w:rFonts w:hint="eastAsia"/>
              </w:rPr>
              <w:t>3</w:t>
            </w:r>
          </w:p>
        </w:tc>
        <w:tc>
          <w:tcPr>
            <w:tcW w:w="1548" w:type="dxa"/>
            <w:vAlign w:val="center"/>
          </w:tcPr>
          <w:p>
            <w:pPr>
              <w:jc w:val="center"/>
            </w:pPr>
            <w:r>
              <w:rPr>
                <w:rFonts w:hint="eastAsia"/>
              </w:rPr>
              <w:t>国产化超融合软件</w:t>
            </w:r>
          </w:p>
        </w:tc>
        <w:tc>
          <w:tcPr>
            <w:tcW w:w="4560" w:type="dxa"/>
          </w:tcPr>
          <w:p>
            <w:pPr>
              <w:numPr>
                <w:ilvl w:val="0"/>
                <w:numId w:val="2"/>
              </w:numPr>
            </w:pPr>
            <w:r>
              <w:rPr>
                <w:rFonts w:hint="eastAsia" w:ascii="宋体" w:hAnsi="宋体" w:cs="宋体"/>
              </w:rPr>
              <w:t>非开源、非OEM产品。</w:t>
            </w:r>
          </w:p>
          <w:p>
            <w:pPr>
              <w:numPr>
                <w:ilvl w:val="0"/>
                <w:numId w:val="2"/>
              </w:numPr>
            </w:pPr>
            <w:r>
              <w:rPr>
                <w:rFonts w:hint="eastAsia"/>
              </w:rPr>
              <w:t>包含虚拟化管理平台、分布式存储文件系统、云资源统一运维管理平台；提供与第1</w:t>
            </w:r>
            <w:r>
              <w:rPr>
                <w:rFonts w:hint="eastAsia"/>
                <w:color w:val="FF0000"/>
              </w:rPr>
              <w:t>、2</w:t>
            </w:r>
            <w:r>
              <w:rPr>
                <w:rFonts w:hint="eastAsia"/>
              </w:rPr>
              <w:t>项对应的计算虚拟化、存储虚拟化、网络虚拟化软件、管理软件授权。</w:t>
            </w:r>
          </w:p>
          <w:p>
            <w:pPr>
              <w:numPr>
                <w:ilvl w:val="0"/>
                <w:numId w:val="2"/>
              </w:numPr>
            </w:pPr>
            <w:r>
              <w:rPr>
                <w:rFonts w:hint="eastAsia"/>
              </w:rPr>
              <w:t>支持部署国产化操作系统（麒麟、统信、欧拉等）。</w:t>
            </w:r>
          </w:p>
          <w:p>
            <w:pPr>
              <w:numPr>
                <w:ilvl w:val="0"/>
                <w:numId w:val="2"/>
              </w:numPr>
            </w:pPr>
            <w:r>
              <w:rPr>
                <w:rFonts w:hint="eastAsia"/>
              </w:rPr>
              <w:t>超融合平台应具备完善的可靠性功能，需支持扩展无代理持续数据保护CDP、本地备份、异地容灾、云容灾等高可用服务，当主平台发生故障时，能够切换到备平台，保障云平台稳定运行。</w:t>
            </w:r>
          </w:p>
          <w:p>
            <w:pPr>
              <w:numPr>
                <w:ilvl w:val="0"/>
                <w:numId w:val="2"/>
              </w:numPr>
            </w:pPr>
            <w:r>
              <w:rPr>
                <w:rFonts w:hint="eastAsia"/>
              </w:rPr>
              <w:t>要求支持KVM、VMware以及第三方虚拟化平台。</w:t>
            </w:r>
          </w:p>
          <w:p>
            <w:pPr>
              <w:numPr>
                <w:ilvl w:val="0"/>
                <w:numId w:val="2"/>
              </w:numPr>
            </w:pPr>
            <w:r>
              <w:rPr>
                <w:rFonts w:hint="eastAsia"/>
              </w:rPr>
              <w:t>要求支持对C86、X86、ARM架构的物理机进行生命周期管理，包括开关机、控制台接入、分配给租户、回收、删除操作。</w:t>
            </w:r>
          </w:p>
          <w:p>
            <w:pPr>
              <w:numPr>
                <w:ilvl w:val="0"/>
                <w:numId w:val="2"/>
              </w:numPr>
            </w:pPr>
            <w:r>
              <w:rPr>
                <w:rFonts w:hint="eastAsia"/>
              </w:rPr>
              <w:t>为避免虚拟机出现资源不足情况，要求支持虚拟机资源在线添加操作，包含CPU、内存、磁盘、网卡。</w:t>
            </w:r>
          </w:p>
          <w:p>
            <w:pPr>
              <w:numPr>
                <w:ilvl w:val="0"/>
                <w:numId w:val="2"/>
              </w:numPr>
            </w:pPr>
            <w:r>
              <w:rPr>
                <w:rFonts w:hint="eastAsia"/>
              </w:rPr>
              <w:t>支持2副本和3副本存储策略。</w:t>
            </w:r>
          </w:p>
          <w:p>
            <w:pPr>
              <w:numPr>
                <w:ilvl w:val="0"/>
                <w:numId w:val="2"/>
              </w:numPr>
            </w:pPr>
            <w:r>
              <w:rPr>
                <w:rFonts w:hint="eastAsia"/>
              </w:rPr>
              <w:t>要求虚拟机迁移支持指定网络迁移同时虚拟机迁移过程中如因数据写入量过大迁移不完，可支持强制切换操作。</w:t>
            </w:r>
          </w:p>
          <w:p>
            <w:pPr>
              <w:numPr>
                <w:ilvl w:val="0"/>
                <w:numId w:val="2"/>
              </w:numPr>
            </w:pPr>
            <w:r>
              <w:rPr>
                <w:rFonts w:hint="eastAsia"/>
              </w:rPr>
              <w:t>要求支持展示便于观查看虚拟化资源池的使用情况和健康状态，包括资源池使用情况，包括CPU使用率、内存使用率、存储使用率、虚拟机数量、物理主机数量以及集群故障与告警等，为满足大规模管理运维的要求，在超融合管理平台界面上提供虚拟机删除、开关机、挂起、重启、关闭、关闭电源、克隆、迁移、备份、模板导出、快照、标签管理等功能。</w:t>
            </w:r>
          </w:p>
          <w:p>
            <w:pPr>
              <w:numPr>
                <w:ilvl w:val="0"/>
                <w:numId w:val="2"/>
              </w:numPr>
            </w:pPr>
            <w:r>
              <w:rPr>
                <w:rFonts w:hint="eastAsia"/>
              </w:rPr>
              <w:t>支持部署主流国产化数据库（达梦、海量、人大金仓、高斯等）。</w:t>
            </w:r>
          </w:p>
          <w:p>
            <w:pPr>
              <w:numPr>
                <w:ilvl w:val="0"/>
                <w:numId w:val="2"/>
              </w:numPr>
            </w:pPr>
            <w:r>
              <w:rPr>
                <w:rFonts w:hint="eastAsia"/>
              </w:rPr>
              <w:t>支持软件在线升级，无论是大版本以及小版本升级都不需要停机。</w:t>
            </w:r>
          </w:p>
          <w:p>
            <w:pPr>
              <w:numPr>
                <w:ilvl w:val="0"/>
                <w:numId w:val="2"/>
              </w:numPr>
            </w:pPr>
            <w:r>
              <w:rPr>
                <w:rFonts w:hint="eastAsia"/>
              </w:rPr>
              <w:t>≥原厂5年维保服务。</w:t>
            </w:r>
          </w:p>
        </w:tc>
        <w:tc>
          <w:tcPr>
            <w:tcW w:w="800" w:type="dxa"/>
            <w:vAlign w:val="center"/>
          </w:tcPr>
          <w:p>
            <w:pPr>
              <w:jc w:val="center"/>
            </w:pPr>
            <w:r>
              <w:rPr>
                <w:rFonts w:hint="eastAsia"/>
              </w:rPr>
              <w:t>套</w:t>
            </w:r>
          </w:p>
        </w:tc>
        <w:tc>
          <w:tcPr>
            <w:tcW w:w="750"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pPr>
            <w:r>
              <w:rPr>
                <w:rFonts w:hint="eastAsia"/>
              </w:rPr>
              <w:t>4</w:t>
            </w:r>
          </w:p>
        </w:tc>
        <w:tc>
          <w:tcPr>
            <w:tcW w:w="1548" w:type="dxa"/>
            <w:vAlign w:val="center"/>
          </w:tcPr>
          <w:p>
            <w:pPr>
              <w:jc w:val="center"/>
            </w:pPr>
            <w:r>
              <w:rPr>
                <w:rFonts w:hint="eastAsia"/>
              </w:rPr>
              <w:t>交换机</w:t>
            </w:r>
          </w:p>
        </w:tc>
        <w:tc>
          <w:tcPr>
            <w:tcW w:w="4560" w:type="dxa"/>
          </w:tcPr>
          <w:p>
            <w:pPr>
              <w:numPr>
                <w:ilvl w:val="0"/>
                <w:numId w:val="3"/>
              </w:numPr>
            </w:pPr>
            <w:r>
              <w:rPr>
                <w:rFonts w:hint="eastAsia"/>
              </w:rPr>
              <w:t>配置≥20个25G多模模块。</w:t>
            </w:r>
          </w:p>
          <w:p>
            <w:pPr>
              <w:numPr>
                <w:ilvl w:val="0"/>
                <w:numId w:val="3"/>
              </w:numPr>
            </w:pPr>
            <w:r>
              <w:rPr>
                <w:rFonts w:hint="eastAsia"/>
              </w:rPr>
              <w:t>≥含5年原厂软硬件维保服务。</w:t>
            </w:r>
          </w:p>
        </w:tc>
        <w:tc>
          <w:tcPr>
            <w:tcW w:w="800" w:type="dxa"/>
            <w:vAlign w:val="center"/>
          </w:tcPr>
          <w:p>
            <w:pPr>
              <w:jc w:val="center"/>
            </w:pPr>
            <w:r>
              <w:rPr>
                <w:rFonts w:hint="eastAsia"/>
              </w:rPr>
              <w:t>台</w:t>
            </w:r>
          </w:p>
        </w:tc>
        <w:tc>
          <w:tcPr>
            <w:tcW w:w="750"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pPr>
            <w:r>
              <w:rPr>
                <w:rFonts w:hint="eastAsia"/>
              </w:rPr>
              <w:t>5</w:t>
            </w:r>
          </w:p>
        </w:tc>
        <w:tc>
          <w:tcPr>
            <w:tcW w:w="1548" w:type="dxa"/>
            <w:vAlign w:val="center"/>
          </w:tcPr>
          <w:p>
            <w:pPr>
              <w:jc w:val="center"/>
            </w:pPr>
            <w:r>
              <w:rPr>
                <w:rFonts w:hint="eastAsia"/>
              </w:rPr>
              <w:t>安装实施服务</w:t>
            </w:r>
          </w:p>
        </w:tc>
        <w:tc>
          <w:tcPr>
            <w:tcW w:w="4560" w:type="dxa"/>
          </w:tcPr>
          <w:p>
            <w:r>
              <w:rPr>
                <w:rFonts w:hint="eastAsia"/>
              </w:rPr>
              <w:t>包含本项目硬件、软件安装调试、虚拟机迁移服务及线材等。</w:t>
            </w:r>
          </w:p>
        </w:tc>
        <w:tc>
          <w:tcPr>
            <w:tcW w:w="800" w:type="dxa"/>
            <w:vAlign w:val="center"/>
          </w:tcPr>
          <w:p>
            <w:pPr>
              <w:jc w:val="center"/>
            </w:pPr>
            <w:r>
              <w:rPr>
                <w:rFonts w:hint="eastAsia"/>
              </w:rPr>
              <w:t>项</w:t>
            </w:r>
          </w:p>
        </w:tc>
        <w:tc>
          <w:tcPr>
            <w:tcW w:w="750" w:type="dxa"/>
            <w:vAlign w:val="center"/>
          </w:tcPr>
          <w:p>
            <w:pPr>
              <w:jc w:val="center"/>
            </w:pPr>
            <w:r>
              <w:rPr>
                <w:rFonts w:hint="eastAsia"/>
              </w:rPr>
              <w:t>1</w:t>
            </w:r>
          </w:p>
        </w:tc>
      </w:tr>
    </w:tbl>
    <w:p>
      <w:pPr>
        <w:widowControl/>
        <w:spacing w:after="160" w:line="34" w:lineRule="atLeast"/>
        <w:jc w:val="left"/>
        <w:rPr>
          <w:rFonts w:ascii="宋体" w:hAnsi="宋体" w:cs="PingFang-SC-Regular"/>
          <w:color w:val="000000"/>
          <w:kern w:val="0"/>
          <w:sz w:val="30"/>
          <w:szCs w:val="30"/>
        </w:rPr>
      </w:pPr>
    </w:p>
    <w:p>
      <w:pPr>
        <w:widowControl/>
        <w:spacing w:after="160" w:line="34" w:lineRule="atLeast"/>
        <w:jc w:val="left"/>
        <w:rPr>
          <w:rFonts w:ascii="宋体" w:hAnsi="宋体" w:cs="PingFang-SC-Regular"/>
          <w:color w:val="000000"/>
          <w:kern w:val="0"/>
          <w:sz w:val="30"/>
          <w:szCs w:val="30"/>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Helvetica Neue Bold">
    <w:altName w:val="C059"/>
    <w:panose1 w:val="00000000000000000000"/>
    <w:charset w:val="00"/>
    <w:family w:val="auto"/>
    <w:pitch w:val="default"/>
    <w:sig w:usb0="00000000" w:usb1="00000000" w:usb2="00000010" w:usb3="00000000" w:csb0="00000000" w:csb1="00000000"/>
  </w:font>
  <w:font w:name="等线">
    <w:altName w:val="汉仪中等线KW"/>
    <w:panose1 w:val="00000000000000000000"/>
    <w:charset w:val="86"/>
    <w:family w:val="auto"/>
    <w:pitch w:val="default"/>
    <w:sig w:usb0="00000000" w:usb1="00000000" w:usb2="00000016" w:usb3="00000000" w:csb0="0004000F" w:csb1="00000000"/>
  </w:font>
  <w:font w:name="PingFang-SC-Regular">
    <w:altName w:val="Noto Serif CJK SC"/>
    <w:panose1 w:val="00000000000000000000"/>
    <w:charset w:val="86"/>
    <w:family w:val="auto"/>
    <w:pitch w:val="default"/>
    <w:sig w:usb0="00000000" w:usb1="00000000" w:usb2="00000017" w:usb3="00000000" w:csb0="00040001" w:csb1="00000000"/>
  </w:font>
  <w:font w:name="C059">
    <w:panose1 w:val="00000500000000000000"/>
    <w:charset w:val="00"/>
    <w:family w:val="auto"/>
    <w:pitch w:val="default"/>
    <w:sig w:usb0="00000287" w:usb1="00000800" w:usb2="00000000" w:usb3="00000000" w:csb0="6000009F" w:csb1="00000000"/>
  </w:font>
  <w:font w:name="汉仪中等线KW">
    <w:panose1 w:val="01010104010101010101"/>
    <w:charset w:val="86"/>
    <w:family w:val="auto"/>
    <w:pitch w:val="default"/>
    <w:sig w:usb0="800002BF" w:usb1="004F7CFA" w:usb2="00000000" w:usb3="00000000" w:csb0="00040001" w:csb1="00000000"/>
  </w:font>
  <w:font w:name="Noto Serif CJK SC">
    <w:panose1 w:val="020204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E8202"/>
    <w:multiLevelType w:val="singleLevel"/>
    <w:tmpl w:val="AEBE8202"/>
    <w:lvl w:ilvl="0" w:tentative="0">
      <w:start w:val="1"/>
      <w:numFmt w:val="decimal"/>
      <w:lvlText w:val="%1."/>
      <w:lvlJc w:val="left"/>
      <w:pPr>
        <w:tabs>
          <w:tab w:val="left" w:pos="312"/>
        </w:tabs>
      </w:pPr>
    </w:lvl>
  </w:abstractNum>
  <w:abstractNum w:abstractNumId="1">
    <w:nsid w:val="2401AC1A"/>
    <w:multiLevelType w:val="singleLevel"/>
    <w:tmpl w:val="2401AC1A"/>
    <w:lvl w:ilvl="0" w:tentative="0">
      <w:start w:val="1"/>
      <w:numFmt w:val="decimal"/>
      <w:lvlText w:val="%1."/>
      <w:lvlJc w:val="left"/>
      <w:pPr>
        <w:tabs>
          <w:tab w:val="left" w:pos="312"/>
        </w:tabs>
      </w:pPr>
    </w:lvl>
  </w:abstractNum>
  <w:abstractNum w:abstractNumId="2">
    <w:nsid w:val="510C0FC7"/>
    <w:multiLevelType w:val="singleLevel"/>
    <w:tmpl w:val="510C0FC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5NmU2YzUxZDgxNTVhNzAwNGQ0YzhiNDljMDhjZDQifQ=="/>
  </w:docVars>
  <w:rsids>
    <w:rsidRoot w:val="00BA66E7"/>
    <w:rsid w:val="00001C80"/>
    <w:rsid w:val="0000298D"/>
    <w:rsid w:val="00015226"/>
    <w:rsid w:val="00041E94"/>
    <w:rsid w:val="00045A12"/>
    <w:rsid w:val="00047C16"/>
    <w:rsid w:val="00047D56"/>
    <w:rsid w:val="00067968"/>
    <w:rsid w:val="00072FA7"/>
    <w:rsid w:val="000B4DEF"/>
    <w:rsid w:val="000C10BD"/>
    <w:rsid w:val="000D0866"/>
    <w:rsid w:val="001106B4"/>
    <w:rsid w:val="00131AD9"/>
    <w:rsid w:val="00135F74"/>
    <w:rsid w:val="001543A4"/>
    <w:rsid w:val="0017091B"/>
    <w:rsid w:val="00180544"/>
    <w:rsid w:val="001A7259"/>
    <w:rsid w:val="001B4441"/>
    <w:rsid w:val="001D21E8"/>
    <w:rsid w:val="00211CF9"/>
    <w:rsid w:val="00223202"/>
    <w:rsid w:val="00224B2F"/>
    <w:rsid w:val="00284580"/>
    <w:rsid w:val="00295CAB"/>
    <w:rsid w:val="0029790E"/>
    <w:rsid w:val="002E4D54"/>
    <w:rsid w:val="003057E2"/>
    <w:rsid w:val="003377A5"/>
    <w:rsid w:val="00374CAC"/>
    <w:rsid w:val="00390D83"/>
    <w:rsid w:val="00391D1C"/>
    <w:rsid w:val="003A0F3F"/>
    <w:rsid w:val="003A40C6"/>
    <w:rsid w:val="003B6DD1"/>
    <w:rsid w:val="003D3F8D"/>
    <w:rsid w:val="003D6A0C"/>
    <w:rsid w:val="003E628C"/>
    <w:rsid w:val="003F5142"/>
    <w:rsid w:val="00407446"/>
    <w:rsid w:val="004124FC"/>
    <w:rsid w:val="00435DB1"/>
    <w:rsid w:val="004652E1"/>
    <w:rsid w:val="00477011"/>
    <w:rsid w:val="004916E3"/>
    <w:rsid w:val="00497835"/>
    <w:rsid w:val="004A12A5"/>
    <w:rsid w:val="004A2D75"/>
    <w:rsid w:val="004A383C"/>
    <w:rsid w:val="005217AE"/>
    <w:rsid w:val="00521D7B"/>
    <w:rsid w:val="005509C1"/>
    <w:rsid w:val="00551A6F"/>
    <w:rsid w:val="00551E78"/>
    <w:rsid w:val="005621E0"/>
    <w:rsid w:val="00563995"/>
    <w:rsid w:val="0056539C"/>
    <w:rsid w:val="00582ADD"/>
    <w:rsid w:val="00582DFF"/>
    <w:rsid w:val="005A2DBC"/>
    <w:rsid w:val="005D38EE"/>
    <w:rsid w:val="00614187"/>
    <w:rsid w:val="00651821"/>
    <w:rsid w:val="00663575"/>
    <w:rsid w:val="00664EF0"/>
    <w:rsid w:val="006A12E4"/>
    <w:rsid w:val="006E6432"/>
    <w:rsid w:val="00721077"/>
    <w:rsid w:val="00773867"/>
    <w:rsid w:val="007A042E"/>
    <w:rsid w:val="007A28C5"/>
    <w:rsid w:val="007A46A4"/>
    <w:rsid w:val="007A6B22"/>
    <w:rsid w:val="007B2776"/>
    <w:rsid w:val="007C17D0"/>
    <w:rsid w:val="007C282D"/>
    <w:rsid w:val="007E4369"/>
    <w:rsid w:val="007E6048"/>
    <w:rsid w:val="00810F1B"/>
    <w:rsid w:val="00813EBE"/>
    <w:rsid w:val="008151E5"/>
    <w:rsid w:val="00832134"/>
    <w:rsid w:val="008370E3"/>
    <w:rsid w:val="00853B8A"/>
    <w:rsid w:val="008620C7"/>
    <w:rsid w:val="00872E75"/>
    <w:rsid w:val="00881337"/>
    <w:rsid w:val="00891A55"/>
    <w:rsid w:val="008E57A8"/>
    <w:rsid w:val="008F2F54"/>
    <w:rsid w:val="008F4A2F"/>
    <w:rsid w:val="008F7A7E"/>
    <w:rsid w:val="00907170"/>
    <w:rsid w:val="00932489"/>
    <w:rsid w:val="009350A8"/>
    <w:rsid w:val="009453D1"/>
    <w:rsid w:val="00963F93"/>
    <w:rsid w:val="009661CF"/>
    <w:rsid w:val="0096644D"/>
    <w:rsid w:val="00974774"/>
    <w:rsid w:val="009B5805"/>
    <w:rsid w:val="009C6296"/>
    <w:rsid w:val="009D297E"/>
    <w:rsid w:val="009F049C"/>
    <w:rsid w:val="00A05B9F"/>
    <w:rsid w:val="00A44657"/>
    <w:rsid w:val="00A54513"/>
    <w:rsid w:val="00A62137"/>
    <w:rsid w:val="00AB0171"/>
    <w:rsid w:val="00AC71F2"/>
    <w:rsid w:val="00AD3431"/>
    <w:rsid w:val="00AD7E83"/>
    <w:rsid w:val="00B00CBB"/>
    <w:rsid w:val="00B47C4C"/>
    <w:rsid w:val="00BA66E7"/>
    <w:rsid w:val="00BB19F9"/>
    <w:rsid w:val="00BF770B"/>
    <w:rsid w:val="00BF7B51"/>
    <w:rsid w:val="00C97912"/>
    <w:rsid w:val="00CB031D"/>
    <w:rsid w:val="00CB0EF3"/>
    <w:rsid w:val="00CC780B"/>
    <w:rsid w:val="00CF5552"/>
    <w:rsid w:val="00D0699E"/>
    <w:rsid w:val="00D73CE3"/>
    <w:rsid w:val="00D86324"/>
    <w:rsid w:val="00D9250D"/>
    <w:rsid w:val="00DB63FA"/>
    <w:rsid w:val="00DB70FB"/>
    <w:rsid w:val="00DD7FF8"/>
    <w:rsid w:val="00DF626C"/>
    <w:rsid w:val="00E1191A"/>
    <w:rsid w:val="00E16F07"/>
    <w:rsid w:val="00E223A5"/>
    <w:rsid w:val="00E2363A"/>
    <w:rsid w:val="00E30279"/>
    <w:rsid w:val="00E42C49"/>
    <w:rsid w:val="00E537B3"/>
    <w:rsid w:val="00E66814"/>
    <w:rsid w:val="00EA1B57"/>
    <w:rsid w:val="00F35BF6"/>
    <w:rsid w:val="00F47861"/>
    <w:rsid w:val="00F51367"/>
    <w:rsid w:val="00F63184"/>
    <w:rsid w:val="00F81FB9"/>
    <w:rsid w:val="00F95994"/>
    <w:rsid w:val="00FA7BA7"/>
    <w:rsid w:val="00FB50B9"/>
    <w:rsid w:val="00FC4666"/>
    <w:rsid w:val="00FF5E84"/>
    <w:rsid w:val="06246489"/>
    <w:rsid w:val="06DB6872"/>
    <w:rsid w:val="0BCD01B7"/>
    <w:rsid w:val="192725ED"/>
    <w:rsid w:val="19A13DF0"/>
    <w:rsid w:val="1A933E73"/>
    <w:rsid w:val="1F9FD3F7"/>
    <w:rsid w:val="287A49E4"/>
    <w:rsid w:val="2B271EEB"/>
    <w:rsid w:val="2B904706"/>
    <w:rsid w:val="2C145A6D"/>
    <w:rsid w:val="2E9A3642"/>
    <w:rsid w:val="38390D75"/>
    <w:rsid w:val="386766E8"/>
    <w:rsid w:val="3EC42D4C"/>
    <w:rsid w:val="3FFF098D"/>
    <w:rsid w:val="4D47254B"/>
    <w:rsid w:val="4FEFE278"/>
    <w:rsid w:val="539F17DF"/>
    <w:rsid w:val="54103793"/>
    <w:rsid w:val="55FF174B"/>
    <w:rsid w:val="56E75292"/>
    <w:rsid w:val="57EF4491"/>
    <w:rsid w:val="58BA384A"/>
    <w:rsid w:val="5D6DB901"/>
    <w:rsid w:val="5F706E6A"/>
    <w:rsid w:val="5FBB2DD2"/>
    <w:rsid w:val="5FFFF114"/>
    <w:rsid w:val="618D7716"/>
    <w:rsid w:val="61A16110"/>
    <w:rsid w:val="63B2364F"/>
    <w:rsid w:val="64C049BE"/>
    <w:rsid w:val="683E5749"/>
    <w:rsid w:val="685F6054"/>
    <w:rsid w:val="6A5C0F71"/>
    <w:rsid w:val="6BFB19E5"/>
    <w:rsid w:val="6D0F65F0"/>
    <w:rsid w:val="6E9FF193"/>
    <w:rsid w:val="6F7361D5"/>
    <w:rsid w:val="722602FD"/>
    <w:rsid w:val="729E7751"/>
    <w:rsid w:val="73FB2B2C"/>
    <w:rsid w:val="755E68F6"/>
    <w:rsid w:val="75FBD5DE"/>
    <w:rsid w:val="76F999EB"/>
    <w:rsid w:val="77D7ACEE"/>
    <w:rsid w:val="77EE8997"/>
    <w:rsid w:val="77F16885"/>
    <w:rsid w:val="792F5459"/>
    <w:rsid w:val="79743629"/>
    <w:rsid w:val="7A822550"/>
    <w:rsid w:val="7AFA7FEC"/>
    <w:rsid w:val="7D3761EF"/>
    <w:rsid w:val="7D964BB9"/>
    <w:rsid w:val="7DF60FAC"/>
    <w:rsid w:val="7F710289"/>
    <w:rsid w:val="7FB004C5"/>
    <w:rsid w:val="7FF92443"/>
    <w:rsid w:val="97FDD401"/>
    <w:rsid w:val="B3F9EC45"/>
    <w:rsid w:val="BFDFDB7C"/>
    <w:rsid w:val="C7F78343"/>
    <w:rsid w:val="DE7FE2EF"/>
    <w:rsid w:val="EE516DAA"/>
    <w:rsid w:val="F5DF72FA"/>
    <w:rsid w:val="F73FBCCC"/>
    <w:rsid w:val="FB7E3218"/>
    <w:rsid w:val="FBEFE831"/>
    <w:rsid w:val="FF7F48FC"/>
    <w:rsid w:val="FFF980CB"/>
    <w:rsid w:val="FFFFBB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b/>
      <w:bCs/>
      <w:kern w:val="0"/>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Hyperlink"/>
    <w:unhideWhenUsed/>
    <w:qFormat/>
    <w:uiPriority w:val="99"/>
    <w:rPr>
      <w:color w:val="0000FF"/>
      <w:u w:val="single"/>
    </w:rPr>
  </w:style>
  <w:style w:type="character" w:customStyle="1" w:styleId="12">
    <w:name w:val="日期 Char"/>
    <w:link w:val="3"/>
    <w:semiHidden/>
    <w:qFormat/>
    <w:uiPriority w:val="99"/>
  </w:style>
  <w:style w:type="character" w:customStyle="1" w:styleId="13">
    <w:name w:val="页脚 Char"/>
    <w:link w:val="4"/>
    <w:semiHidden/>
    <w:qFormat/>
    <w:uiPriority w:val="99"/>
    <w:rPr>
      <w:sz w:val="18"/>
      <w:szCs w:val="18"/>
    </w:rPr>
  </w:style>
  <w:style w:type="character" w:customStyle="1" w:styleId="14">
    <w:name w:val="页眉 Char"/>
    <w:link w:val="5"/>
    <w:semiHidden/>
    <w:qFormat/>
    <w:uiPriority w:val="99"/>
    <w:rPr>
      <w:sz w:val="18"/>
      <w:szCs w:val="18"/>
    </w:rPr>
  </w:style>
  <w:style w:type="paragraph" w:styleId="15">
    <w:name w:val="List Paragraph"/>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152</Words>
  <Characters>869</Characters>
  <Lines>7</Lines>
  <Paragraphs>2</Paragraphs>
  <TotalTime>0</TotalTime>
  <ScaleCrop>false</ScaleCrop>
  <LinksUpToDate>false</LinksUpToDate>
  <CharactersWithSpaces>1019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钟军</dc:creator>
  <cp:lastModifiedBy>user</cp:lastModifiedBy>
  <dcterms:modified xsi:type="dcterms:W3CDTF">2025-05-28T15:32:26Z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60AF15727EBD4DE7B4AFB51ACBA86BE5_13</vt:lpwstr>
  </property>
  <property fmtid="{D5CDD505-2E9C-101B-9397-08002B2CF9AE}" pid="4" name="KSOTemplateDocerSaveRecord">
    <vt:lpwstr>eyJoZGlkIjoiNWM4MTkwZmVmMjI0NDVlNDhmNTBlZDdkNTQ0YjBjZjUiLCJ1c2VySWQiOiI1NDgzMzcyMzAifQ==</vt:lpwstr>
  </property>
</Properties>
</file>