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86719">
      <w:pPr>
        <w:rPr>
          <w:rFonts w:hint="eastAsia"/>
        </w:rPr>
      </w:pPr>
      <w:r>
        <w:rPr>
          <w:rFonts w:hint="eastAsia"/>
          <w:sz w:val="28"/>
          <w:szCs w:val="28"/>
          <w:lang w:val="en-US" w:eastAsia="zh-CN"/>
        </w:rPr>
        <w:t>艾灸仪需求参数：</w:t>
      </w:r>
    </w:p>
    <w:p w14:paraId="031F985B">
      <w:pPr>
        <w:rPr>
          <w:rFonts w:hint="eastAsia"/>
          <w:sz w:val="28"/>
          <w:szCs w:val="28"/>
        </w:rPr>
      </w:pPr>
      <w:r>
        <w:rPr>
          <w:rFonts w:hint="eastAsia" w:ascii="宋体" w:hAnsi="宋体" w:eastAsia="宋体" w:cs="宋体"/>
          <w:sz w:val="28"/>
          <w:szCs w:val="28"/>
        </w:rPr>
        <w:t>▲</w:t>
      </w:r>
      <w:r>
        <w:rPr>
          <w:rFonts w:hint="eastAsia"/>
          <w:sz w:val="28"/>
          <w:szCs w:val="28"/>
        </w:rPr>
        <w:t>1、</w:t>
      </w:r>
      <w:r>
        <w:rPr>
          <w:rFonts w:hint="eastAsia"/>
          <w:sz w:val="28"/>
          <w:szCs w:val="28"/>
          <w:lang w:val="en-US" w:eastAsia="zh-CN"/>
        </w:rPr>
        <w:t>具备</w:t>
      </w:r>
      <w:r>
        <w:rPr>
          <w:rFonts w:hint="eastAsia"/>
          <w:sz w:val="28"/>
          <w:szCs w:val="28"/>
        </w:rPr>
        <w:t>明火艾灸。</w:t>
      </w:r>
    </w:p>
    <w:p w14:paraId="49031C40">
      <w:pPr>
        <w:rPr>
          <w:rFonts w:hint="default" w:eastAsiaTheme="minorEastAsia"/>
          <w:sz w:val="28"/>
          <w:szCs w:val="28"/>
          <w:lang w:val="en-US" w:eastAsia="zh-CN"/>
        </w:rPr>
      </w:pPr>
      <w:r>
        <w:rPr>
          <w:rFonts w:hint="eastAsia" w:ascii="宋体" w:hAnsi="宋体" w:eastAsia="宋体" w:cs="宋体"/>
          <w:sz w:val="28"/>
          <w:szCs w:val="28"/>
        </w:rPr>
        <w:t>▲</w:t>
      </w:r>
      <w:r>
        <w:rPr>
          <w:rFonts w:hint="eastAsia"/>
          <w:sz w:val="28"/>
          <w:szCs w:val="28"/>
        </w:rPr>
        <w:t>2、具备净烟功能，净化气体符合</w:t>
      </w:r>
      <w:r>
        <w:rPr>
          <w:rFonts w:hint="eastAsia"/>
          <w:sz w:val="28"/>
          <w:szCs w:val="28"/>
          <w:lang w:val="en-US" w:eastAsia="zh-CN"/>
        </w:rPr>
        <w:t>国家</w:t>
      </w:r>
      <w:r>
        <w:rPr>
          <w:rFonts w:hint="eastAsia"/>
          <w:sz w:val="28"/>
          <w:szCs w:val="28"/>
        </w:rPr>
        <w:t>环境空气标准。</w:t>
      </w:r>
      <w:r>
        <w:rPr>
          <w:rFonts w:hint="eastAsia"/>
          <w:sz w:val="28"/>
          <w:szCs w:val="28"/>
          <w:lang w:eastAsia="zh-CN"/>
        </w:rPr>
        <w:t>（</w:t>
      </w:r>
      <w:r>
        <w:rPr>
          <w:rFonts w:hint="eastAsia"/>
          <w:sz w:val="28"/>
          <w:szCs w:val="28"/>
          <w:lang w:val="en-US" w:eastAsia="zh-CN"/>
        </w:rPr>
        <w:t>提供证明材料）。</w:t>
      </w:r>
    </w:p>
    <w:p w14:paraId="213029B2">
      <w:pPr>
        <w:rPr>
          <w:rFonts w:hint="eastAsia"/>
          <w:sz w:val="28"/>
          <w:szCs w:val="28"/>
        </w:rPr>
      </w:pPr>
      <w:r>
        <w:rPr>
          <w:rFonts w:hint="eastAsia"/>
          <w:sz w:val="28"/>
          <w:szCs w:val="28"/>
        </w:rPr>
        <w:t>3、净烟主机尺寸：≤宽45cm*长75cm*高110cm。</w:t>
      </w:r>
    </w:p>
    <w:p w14:paraId="1C691C89">
      <w:pPr>
        <w:rPr>
          <w:rFonts w:hint="eastAsia"/>
          <w:sz w:val="28"/>
          <w:szCs w:val="28"/>
        </w:rPr>
      </w:pPr>
      <w:r>
        <w:rPr>
          <w:rFonts w:hint="eastAsia" w:ascii="宋体" w:hAnsi="宋体" w:eastAsia="宋体" w:cs="宋体"/>
          <w:sz w:val="28"/>
          <w:szCs w:val="28"/>
        </w:rPr>
        <w:t>▲</w:t>
      </w:r>
      <w:r>
        <w:rPr>
          <w:rFonts w:hint="eastAsia"/>
          <w:sz w:val="28"/>
          <w:szCs w:val="28"/>
        </w:rPr>
        <w:t>4、聚能灸</w:t>
      </w:r>
      <w:r>
        <w:rPr>
          <w:rFonts w:hint="eastAsia"/>
          <w:sz w:val="28"/>
          <w:szCs w:val="28"/>
          <w:lang w:eastAsia="zh-CN"/>
        </w:rPr>
        <w:t>：</w:t>
      </w:r>
      <w:r>
        <w:rPr>
          <w:rFonts w:hint="eastAsia"/>
          <w:sz w:val="28"/>
          <w:szCs w:val="28"/>
        </w:rPr>
        <w:t>≥2个。</w:t>
      </w:r>
    </w:p>
    <w:p w14:paraId="06EE5108">
      <w:pPr>
        <w:rPr>
          <w:rFonts w:hint="eastAsia"/>
          <w:sz w:val="28"/>
          <w:szCs w:val="28"/>
        </w:rPr>
      </w:pPr>
      <w:r>
        <w:rPr>
          <w:rFonts w:hint="eastAsia" w:ascii="宋体" w:hAnsi="宋体" w:eastAsia="宋体" w:cs="宋体"/>
          <w:sz w:val="28"/>
          <w:szCs w:val="28"/>
        </w:rPr>
        <w:t>▲</w:t>
      </w:r>
      <w:r>
        <w:rPr>
          <w:rFonts w:hint="eastAsia"/>
          <w:sz w:val="28"/>
          <w:szCs w:val="28"/>
        </w:rPr>
        <w:t>5、排烟管道</w:t>
      </w:r>
      <w:r>
        <w:rPr>
          <w:rFonts w:hint="eastAsia"/>
          <w:sz w:val="28"/>
          <w:szCs w:val="28"/>
          <w:lang w:eastAsia="zh-CN"/>
        </w:rPr>
        <w:t>：</w:t>
      </w:r>
      <w:r>
        <w:rPr>
          <w:rFonts w:hint="eastAsia"/>
          <w:sz w:val="28"/>
          <w:szCs w:val="28"/>
        </w:rPr>
        <w:t>≥4个。</w:t>
      </w:r>
    </w:p>
    <w:p w14:paraId="3746BCF0">
      <w:pPr>
        <w:rPr>
          <w:rFonts w:hint="eastAsia"/>
          <w:sz w:val="28"/>
          <w:szCs w:val="28"/>
        </w:rPr>
      </w:pPr>
      <w:r>
        <w:rPr>
          <w:rFonts w:hint="eastAsia" w:ascii="宋体" w:hAnsi="宋体" w:eastAsia="宋体" w:cs="宋体"/>
          <w:sz w:val="28"/>
          <w:szCs w:val="28"/>
        </w:rPr>
        <w:t>▲</w:t>
      </w:r>
      <w:r>
        <w:rPr>
          <w:rFonts w:hint="eastAsia"/>
          <w:sz w:val="28"/>
          <w:szCs w:val="28"/>
        </w:rPr>
        <w:t>6、配</w:t>
      </w:r>
      <w:r>
        <w:rPr>
          <w:rFonts w:hint="eastAsia"/>
          <w:sz w:val="28"/>
          <w:szCs w:val="28"/>
          <w:lang w:val="en-US" w:eastAsia="zh-CN"/>
        </w:rPr>
        <w:t>备</w:t>
      </w:r>
      <w:r>
        <w:rPr>
          <w:rFonts w:hint="eastAsia"/>
          <w:sz w:val="28"/>
          <w:szCs w:val="28"/>
        </w:rPr>
        <w:t>灸盒</w:t>
      </w:r>
      <w:r>
        <w:rPr>
          <w:rFonts w:hint="eastAsia"/>
          <w:sz w:val="28"/>
          <w:szCs w:val="28"/>
          <w:lang w:val="en-US" w:eastAsia="zh-CN"/>
        </w:rPr>
        <w:t>与</w:t>
      </w:r>
      <w:r>
        <w:rPr>
          <w:rFonts w:hint="eastAsia"/>
          <w:sz w:val="28"/>
          <w:szCs w:val="28"/>
        </w:rPr>
        <w:t>净烟主机</w:t>
      </w:r>
      <w:r>
        <w:rPr>
          <w:rFonts w:hint="eastAsia"/>
          <w:sz w:val="28"/>
          <w:szCs w:val="28"/>
          <w:lang w:val="en-US" w:eastAsia="zh-CN"/>
        </w:rPr>
        <w:t>适</w:t>
      </w:r>
      <w:r>
        <w:rPr>
          <w:rFonts w:hint="eastAsia"/>
          <w:sz w:val="28"/>
          <w:szCs w:val="28"/>
        </w:rPr>
        <w:t>用，</w:t>
      </w:r>
      <w:r>
        <w:rPr>
          <w:rFonts w:hint="eastAsia"/>
          <w:sz w:val="28"/>
          <w:szCs w:val="28"/>
          <w:lang w:val="en-US" w:eastAsia="zh-CN"/>
        </w:rPr>
        <w:t>且</w:t>
      </w:r>
      <w:r>
        <w:rPr>
          <w:rFonts w:hint="eastAsia"/>
          <w:sz w:val="28"/>
          <w:szCs w:val="28"/>
        </w:rPr>
        <w:t>不低于三个不同部位</w:t>
      </w:r>
      <w:r>
        <w:rPr>
          <w:rFonts w:hint="eastAsia"/>
          <w:sz w:val="28"/>
          <w:szCs w:val="28"/>
          <w:lang w:val="en-US" w:eastAsia="zh-CN"/>
        </w:rPr>
        <w:t>的</w:t>
      </w:r>
      <w:r>
        <w:rPr>
          <w:rFonts w:hint="eastAsia"/>
          <w:sz w:val="28"/>
          <w:szCs w:val="28"/>
        </w:rPr>
        <w:t>灸盒。</w:t>
      </w:r>
    </w:p>
    <w:p w14:paraId="7BE143BF">
      <w:pPr>
        <w:rPr>
          <w:rFonts w:hint="eastAsia"/>
          <w:sz w:val="28"/>
          <w:szCs w:val="28"/>
        </w:rPr>
      </w:pPr>
      <w:r>
        <w:rPr>
          <w:rFonts w:hint="eastAsia"/>
          <w:sz w:val="28"/>
          <w:szCs w:val="28"/>
        </w:rPr>
        <w:t>7、主机功率：≤30W。</w:t>
      </w:r>
    </w:p>
    <w:p w14:paraId="28EC4EFC">
      <w:pPr>
        <w:rPr>
          <w:rFonts w:hint="eastAsia"/>
          <w:sz w:val="28"/>
          <w:szCs w:val="28"/>
        </w:rPr>
      </w:pPr>
      <w:r>
        <w:rPr>
          <w:rFonts w:hint="eastAsia" w:ascii="宋体" w:hAnsi="宋体" w:eastAsia="宋体" w:cs="宋体"/>
          <w:sz w:val="28"/>
          <w:szCs w:val="28"/>
        </w:rPr>
        <w:t>▲</w:t>
      </w:r>
      <w:r>
        <w:rPr>
          <w:rFonts w:hint="eastAsia"/>
          <w:sz w:val="28"/>
          <w:szCs w:val="28"/>
        </w:rPr>
        <w:t>8、整机运行噪音：≤60dB（A）。</w:t>
      </w:r>
    </w:p>
    <w:p w14:paraId="2653ACDC">
      <w:pPr>
        <w:rPr>
          <w:rFonts w:hint="eastAsia"/>
          <w:sz w:val="28"/>
          <w:szCs w:val="28"/>
        </w:rPr>
      </w:pPr>
      <w:r>
        <w:rPr>
          <w:rFonts w:hint="eastAsia" w:ascii="宋体" w:hAnsi="宋体" w:eastAsia="宋体" w:cs="宋体"/>
          <w:sz w:val="28"/>
          <w:szCs w:val="28"/>
        </w:rPr>
        <w:t>▲</w:t>
      </w:r>
      <w:r>
        <w:rPr>
          <w:rFonts w:hint="eastAsia"/>
          <w:sz w:val="28"/>
          <w:szCs w:val="28"/>
        </w:rPr>
        <w:t>9、</w:t>
      </w:r>
      <w:r>
        <w:rPr>
          <w:rFonts w:hint="eastAsia"/>
          <w:sz w:val="28"/>
          <w:szCs w:val="28"/>
          <w:lang w:val="en-US" w:eastAsia="zh-CN"/>
        </w:rPr>
        <w:t>配置至少2张治疗</w:t>
      </w:r>
      <w:r>
        <w:rPr>
          <w:rFonts w:hint="eastAsia"/>
          <w:sz w:val="28"/>
          <w:szCs w:val="28"/>
        </w:rPr>
        <w:t>床，</w:t>
      </w:r>
      <w:r>
        <w:rPr>
          <w:rFonts w:hint="eastAsia"/>
          <w:sz w:val="28"/>
          <w:szCs w:val="28"/>
          <w:lang w:val="en-US" w:eastAsia="zh-CN"/>
        </w:rPr>
        <w:t>可同时满足至少2个患者做治疗。</w:t>
      </w:r>
    </w:p>
    <w:p w14:paraId="2D856092">
      <w:pPr>
        <w:rPr>
          <w:rFonts w:hint="eastAsia"/>
          <w:sz w:val="28"/>
          <w:szCs w:val="28"/>
          <w:lang w:val="en-US" w:eastAsia="zh-CN"/>
        </w:rPr>
      </w:pPr>
      <w:r>
        <w:rPr>
          <w:rFonts w:hint="eastAsia" w:ascii="宋体" w:hAnsi="宋体" w:eastAsia="宋体" w:cs="宋体"/>
          <w:sz w:val="28"/>
          <w:szCs w:val="28"/>
          <w:lang w:val="en-US" w:eastAsia="zh-CN"/>
        </w:rPr>
        <w:t>▲</w:t>
      </w:r>
      <w:r>
        <w:rPr>
          <w:rFonts w:hint="eastAsia"/>
          <w:sz w:val="28"/>
          <w:szCs w:val="28"/>
          <w:lang w:val="en-US" w:eastAsia="zh-CN"/>
        </w:rPr>
        <w:t>10、质保期不少于2年。</w:t>
      </w:r>
    </w:p>
    <w:p w14:paraId="1958DF27">
      <w:pPr>
        <w:rPr>
          <w:rFonts w:hint="eastAsia"/>
          <w:sz w:val="28"/>
          <w:szCs w:val="28"/>
          <w:lang w:val="en-US" w:eastAsia="zh-CN"/>
        </w:rPr>
      </w:pPr>
    </w:p>
    <w:p w14:paraId="4802C8B7">
      <w:pPr>
        <w:rPr>
          <w:rFonts w:hint="eastAsia"/>
          <w:sz w:val="28"/>
          <w:szCs w:val="28"/>
          <w:lang w:val="en-US" w:eastAsia="zh-CN"/>
        </w:rPr>
      </w:pPr>
    </w:p>
    <w:p w14:paraId="59E14996">
      <w:pPr>
        <w:rPr>
          <w:rFonts w:hint="eastAsia"/>
          <w:sz w:val="28"/>
          <w:szCs w:val="28"/>
          <w:lang w:val="en-US" w:eastAsia="zh-CN"/>
        </w:rPr>
      </w:pPr>
    </w:p>
    <w:p w14:paraId="45F96B49">
      <w:pPr>
        <w:rPr>
          <w:rFonts w:hint="eastAsia"/>
          <w:sz w:val="28"/>
          <w:szCs w:val="28"/>
          <w:lang w:val="en-US" w:eastAsia="zh-CN"/>
        </w:rPr>
      </w:pPr>
    </w:p>
    <w:p w14:paraId="5A9A9250">
      <w:pPr>
        <w:rPr>
          <w:rFonts w:hint="eastAsia"/>
          <w:sz w:val="28"/>
          <w:szCs w:val="28"/>
          <w:lang w:val="en-US" w:eastAsia="zh-CN"/>
        </w:rPr>
      </w:pPr>
    </w:p>
    <w:p w14:paraId="6C64751D">
      <w:pPr>
        <w:rPr>
          <w:rFonts w:hint="eastAsia"/>
          <w:sz w:val="28"/>
          <w:szCs w:val="28"/>
          <w:lang w:val="en-US" w:eastAsia="zh-CN"/>
        </w:rPr>
      </w:pPr>
    </w:p>
    <w:p w14:paraId="6B5009D8">
      <w:pPr>
        <w:rPr>
          <w:rFonts w:hint="eastAsia"/>
          <w:sz w:val="28"/>
          <w:szCs w:val="28"/>
          <w:lang w:val="en-US" w:eastAsia="zh-CN"/>
        </w:rPr>
      </w:pPr>
    </w:p>
    <w:p w14:paraId="585EC799">
      <w:pPr>
        <w:rPr>
          <w:rFonts w:hint="eastAsia"/>
          <w:sz w:val="28"/>
          <w:szCs w:val="28"/>
          <w:lang w:val="en-US" w:eastAsia="zh-CN"/>
        </w:rPr>
      </w:pPr>
    </w:p>
    <w:p w14:paraId="093E8BEA">
      <w:pPr>
        <w:rPr>
          <w:rFonts w:hint="eastAsia"/>
          <w:sz w:val="28"/>
          <w:szCs w:val="28"/>
          <w:lang w:val="en-US" w:eastAsia="zh-CN"/>
        </w:rPr>
      </w:pPr>
    </w:p>
    <w:p w14:paraId="074D6564">
      <w:pPr>
        <w:rPr>
          <w:rFonts w:hint="eastAsia"/>
          <w:sz w:val="28"/>
          <w:szCs w:val="28"/>
          <w:lang w:val="en-US" w:eastAsia="zh-CN"/>
        </w:rPr>
      </w:pPr>
      <w:bookmarkStart w:id="0" w:name="_GoBack"/>
      <w:bookmarkEnd w:id="0"/>
    </w:p>
    <w:tbl>
      <w:tblPr>
        <w:tblStyle w:val="6"/>
        <w:tblW w:w="5342"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9"/>
        <w:gridCol w:w="7632"/>
      </w:tblGrid>
      <w:tr w14:paraId="0656F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000" w:type="pct"/>
            <w:gridSpan w:val="2"/>
            <w:vAlign w:val="top"/>
          </w:tcPr>
          <w:p w14:paraId="067CC66C">
            <w:pPr>
              <w:pStyle w:val="5"/>
              <w:spacing w:before="130" w:line="189" w:lineRule="auto"/>
              <w:ind w:left="139"/>
            </w:pPr>
            <w:r>
              <w:rPr>
                <w:spacing w:val="5"/>
              </w:rPr>
              <w:t>▲商务条款</w:t>
            </w:r>
          </w:p>
        </w:tc>
      </w:tr>
      <w:tr w14:paraId="0AD93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32F7A628">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投标报价</w:t>
            </w:r>
          </w:p>
          <w:p w14:paraId="3B94D779">
            <w:pPr>
              <w:pStyle w:val="5"/>
              <w:keepNext w:val="0"/>
              <w:keepLines w:val="0"/>
              <w:pageBreakBefore w:val="0"/>
              <w:widowControl/>
              <w:wordWrap/>
              <w:overflowPunct/>
              <w:topLinePunct w:val="0"/>
              <w:bidi w:val="0"/>
              <w:adjustRightInd w:val="0"/>
              <w:snapToGrid w:val="0"/>
              <w:spacing w:before="176" w:line="240" w:lineRule="exact"/>
              <w:ind w:left="125" w:firstLine="424" w:firstLineChars="200"/>
              <w:textAlignment w:val="baseline"/>
              <w:outlineLvl w:val="0"/>
              <w:rPr>
                <w:rFonts w:hint="default"/>
                <w:color w:val="FF0000"/>
                <w:spacing w:val="4"/>
                <w:highlight w:val="yellow"/>
                <w:lang w:val="en-US" w:eastAsia="zh-CN"/>
              </w:rPr>
            </w:pPr>
            <w:r>
              <w:rPr>
                <w:rFonts w:hint="eastAsia"/>
                <w:spacing w:val="6"/>
                <w:lang w:val="en-US" w:eastAsia="zh-CN"/>
              </w:rPr>
              <w:t>要求</w:t>
            </w:r>
          </w:p>
        </w:tc>
        <w:tc>
          <w:tcPr>
            <w:tcW w:w="4296" w:type="pct"/>
            <w:vAlign w:val="top"/>
          </w:tcPr>
          <w:p w14:paraId="090435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1、报价必须含以下部分，包括：</w:t>
            </w:r>
          </w:p>
          <w:p w14:paraId="60709EF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（1）货物的价格；</w:t>
            </w:r>
          </w:p>
          <w:p w14:paraId="4876636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（2）必要的保险费用和各项税金；</w:t>
            </w:r>
          </w:p>
          <w:p w14:paraId="0FDF45A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（3）其他（如运输、装卸、安装、调试、培训、技术支持、售后货物、更新升级等费用，根据项目具体情况填写）： 包括货款、随配附件、备品备件、专用工具、包装、运输、装卸、保险、运抵指定交货地点、送货上门服务、现场安装调试、包装箱清理、保修等各种费用和售后服务、培训、税金、本采购文件所列设备材料需进行补充完善才能完成本项目的功能配置或实际采购中产品材料有任何遗漏的费用（含本项目需要但本文件中未列出的设备材料、功能配置），以及合同明示或暗示的所有责任、义务 和一般风险所有成本费用的总和。</w:t>
            </w:r>
          </w:p>
          <w:p w14:paraId="5A3E2B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w:t>
            </w:r>
            <w:r>
              <w:rPr>
                <w:rFonts w:hint="default"/>
                <w:spacing w:val="6"/>
                <w:lang w:eastAsia="zh-CN"/>
              </w:rPr>
              <w:t>4</w:t>
            </w:r>
            <w:r>
              <w:rPr>
                <w:rFonts w:hint="eastAsia"/>
                <w:spacing w:val="6"/>
                <w:lang w:eastAsia="zh-CN"/>
              </w:rPr>
              <w:t>）</w:t>
            </w:r>
            <w:r>
              <w:rPr>
                <w:rFonts w:hint="default"/>
                <w:spacing w:val="6"/>
                <w:lang w:eastAsia="zh-CN"/>
              </w:rPr>
              <w:t>如有</w:t>
            </w:r>
            <w:r>
              <w:rPr>
                <w:rFonts w:hint="eastAsia"/>
                <w:spacing w:val="6"/>
                <w:lang w:eastAsia="zh-CN"/>
              </w:rPr>
              <w:t>负责仪器与HIS系统对接，设备联机及接口所需费用</w:t>
            </w:r>
            <w:r>
              <w:rPr>
                <w:rFonts w:hint="default"/>
                <w:spacing w:val="6"/>
                <w:lang w:eastAsia="zh-CN"/>
              </w:rPr>
              <w:t>（含his系统接口开发费用）</w:t>
            </w:r>
            <w:r>
              <w:rPr>
                <w:rFonts w:hint="eastAsia"/>
                <w:spacing w:val="6"/>
                <w:lang w:eastAsia="zh-CN"/>
              </w:rPr>
              <w:t>均由供货商承担。</w:t>
            </w:r>
          </w:p>
          <w:p w14:paraId="1884BF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eastAsia="zh-CN"/>
              </w:rPr>
              <w:t>（</w:t>
            </w:r>
            <w:r>
              <w:rPr>
                <w:rFonts w:hint="default"/>
                <w:spacing w:val="6"/>
                <w:lang w:eastAsia="zh-CN"/>
              </w:rPr>
              <w:t>5</w:t>
            </w:r>
            <w:r>
              <w:rPr>
                <w:rFonts w:hint="eastAsia"/>
                <w:spacing w:val="6"/>
                <w:lang w:eastAsia="zh-CN"/>
              </w:rPr>
              <w:t>）试剂耗材的报价按照单价上控价整体下浮率（%）报价。（</w:t>
            </w:r>
            <w:r>
              <w:rPr>
                <w:rFonts w:hint="eastAsia"/>
                <w:spacing w:val="6"/>
                <w:lang w:val="en-US" w:eastAsia="zh-CN"/>
              </w:rPr>
              <w:t>如无试剂耗材则</w:t>
            </w:r>
            <w:r>
              <w:rPr>
                <w:rFonts w:hint="default"/>
                <w:spacing w:val="6"/>
                <w:lang w:eastAsia="zh-CN"/>
              </w:rPr>
              <w:t>不适用</w:t>
            </w:r>
            <w:r>
              <w:rPr>
                <w:rFonts w:hint="eastAsia"/>
                <w:spacing w:val="6"/>
                <w:lang w:val="en-US" w:eastAsia="zh-CN"/>
              </w:rPr>
              <w:t>）</w:t>
            </w:r>
          </w:p>
        </w:tc>
      </w:tr>
      <w:tr w14:paraId="26A71D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center"/>
          </w:tcPr>
          <w:p w14:paraId="1A641A38">
            <w:pPr>
              <w:keepNext w:val="0"/>
              <w:keepLines w:val="0"/>
              <w:pageBreakBefore w:val="0"/>
              <w:kinsoku/>
              <w:wordWrap/>
              <w:overflowPunct/>
              <w:topLinePunct w:val="0"/>
              <w:autoSpaceDE/>
              <w:autoSpaceDN/>
              <w:bidi w:val="0"/>
              <w:adjustRightInd w:val="0"/>
              <w:snapToGrid w:val="0"/>
              <w:spacing w:line="380" w:lineRule="exact"/>
              <w:ind w:left="0" w:leftChars="0" w:right="0" w:rightChars="0" w:firstLine="0" w:firstLineChars="0"/>
              <w:jc w:val="center"/>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合同签订时间</w:t>
            </w:r>
          </w:p>
        </w:tc>
        <w:tc>
          <w:tcPr>
            <w:tcW w:w="4296" w:type="pct"/>
            <w:vAlign w:val="center"/>
          </w:tcPr>
          <w:p w14:paraId="2E9A99BE">
            <w:pPr>
              <w:keepNext w:val="0"/>
              <w:keepLines w:val="0"/>
              <w:pageBreakBefore w:val="0"/>
              <w:widowControl/>
              <w:kinsoku/>
              <w:wordWrap/>
              <w:overflowPunct/>
              <w:topLinePunct w:val="0"/>
              <w:autoSpaceDE/>
              <w:autoSpaceDN/>
              <w:bidi w:val="0"/>
              <w:adjustRightInd w:val="0"/>
              <w:snapToGrid w:val="0"/>
              <w:spacing w:line="240" w:lineRule="exact"/>
              <w:ind w:firstLine="212" w:firstLineChars="100"/>
              <w:jc w:val="left"/>
              <w:textAlignment w:val="baseline"/>
              <w:rPr>
                <w:rFonts w:hint="eastAsia" w:ascii="微软雅黑" w:hAnsi="微软雅黑" w:eastAsia="微软雅黑" w:cs="微软雅黑"/>
                <w:snapToGrid w:val="0"/>
                <w:color w:val="000000"/>
                <w:spacing w:val="6"/>
                <w:kern w:val="0"/>
                <w:sz w:val="20"/>
                <w:szCs w:val="20"/>
                <w:lang w:val="en-US" w:eastAsia="zh-CN" w:bidi="ar-SA"/>
              </w:rPr>
            </w:pPr>
            <w:r>
              <w:rPr>
                <w:rFonts w:hint="eastAsia" w:ascii="微软雅黑" w:hAnsi="微软雅黑" w:eastAsia="微软雅黑" w:cs="微软雅黑"/>
                <w:snapToGrid w:val="0"/>
                <w:color w:val="000000"/>
                <w:spacing w:val="6"/>
                <w:kern w:val="0"/>
                <w:sz w:val="20"/>
                <w:szCs w:val="20"/>
                <w:lang w:val="en-US" w:eastAsia="zh-CN" w:bidi="ar-SA"/>
              </w:rPr>
              <w:t>自中标通知书发出之日起10日内。</w:t>
            </w:r>
          </w:p>
        </w:tc>
      </w:tr>
      <w:tr w14:paraId="7438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5FEADBEA">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交货时间</w:t>
            </w:r>
          </w:p>
          <w:p w14:paraId="2EFD21C7">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spacing w:val="4"/>
              </w:rPr>
            </w:pPr>
            <w:r>
              <w:rPr>
                <w:rFonts w:hint="eastAsia"/>
                <w:spacing w:val="6"/>
                <w:lang w:val="en-US" w:eastAsia="zh-CN"/>
              </w:rPr>
              <w:t>及地点</w:t>
            </w:r>
          </w:p>
        </w:tc>
        <w:tc>
          <w:tcPr>
            <w:tcW w:w="4296" w:type="pct"/>
            <w:vAlign w:val="top"/>
          </w:tcPr>
          <w:p w14:paraId="57EE72F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woUserID w:val="2"/>
              </w:rPr>
            </w:pPr>
            <w:r>
              <w:rPr>
                <w:rFonts w:hint="eastAsia"/>
                <w:spacing w:val="6"/>
                <w:lang w:val="en-US" w:eastAsia="zh-CN"/>
                <w:woUserID w:val="2"/>
              </w:rPr>
              <w:t>1.交货期：合同签订后30天内，采购人电话通知中标人送货后，交货安装调试并正常运行。</w:t>
            </w:r>
          </w:p>
          <w:p w14:paraId="6A2AB24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spacing w:val="4"/>
              </w:rPr>
            </w:pPr>
            <w:r>
              <w:rPr>
                <w:rFonts w:hint="eastAsia"/>
                <w:spacing w:val="6"/>
                <w:lang w:val="en-US" w:eastAsia="zh-CN"/>
                <w:woUserID w:val="2"/>
              </w:rPr>
              <w:t>2.地点：采购人指定地点。</w:t>
            </w:r>
          </w:p>
        </w:tc>
      </w:tr>
      <w:tr w14:paraId="74367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63B5D4FE"/>
          <w:p w14:paraId="6D33262D"/>
          <w:p w14:paraId="14D412E3">
            <w:pPr>
              <w:pStyle w:val="5"/>
              <w:spacing w:before="86" w:line="187" w:lineRule="auto"/>
              <w:rPr>
                <w:spacing w:val="9"/>
              </w:rPr>
            </w:pPr>
          </w:p>
          <w:p w14:paraId="7E7968B4">
            <w:pPr>
              <w:pStyle w:val="5"/>
              <w:spacing w:before="86" w:line="187" w:lineRule="auto"/>
              <w:jc w:val="center"/>
            </w:pPr>
            <w:r>
              <w:rPr>
                <w:spacing w:val="9"/>
              </w:rPr>
              <w:t>质保期</w:t>
            </w:r>
          </w:p>
        </w:tc>
        <w:tc>
          <w:tcPr>
            <w:tcW w:w="4296" w:type="pct"/>
            <w:vAlign w:val="top"/>
          </w:tcPr>
          <w:p w14:paraId="433121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1.投标人应明确承诺：按国家有关产品“三包”规定执行“三包”，货物验收合格后，自安装验收合格之日起质保期≥3 年，质保期内非人为损坏免费更换所有故障零 配件，并免费提供设备的系统软件及硬件的安全性改版升级和技术支持 ，确保设备 正常运行，质保期满后，终身维护。</w:t>
            </w:r>
          </w:p>
          <w:p w14:paraId="57EB2A2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2.</w:t>
            </w:r>
            <w:r>
              <w:rPr>
                <w:rFonts w:hint="eastAsia"/>
                <w:spacing w:val="6"/>
                <w:lang w:eastAsia="zh-CN"/>
              </w:rPr>
              <w:t>要求投标货物是全新的、未经改装的、合格的、满足本项目技术需求及要求的 货物。所有零部件、配件必须是未经使用的全新的并符合国家有关质量安全标准的产 品。</w:t>
            </w:r>
          </w:p>
          <w:p w14:paraId="17415C4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3</w:t>
            </w:r>
            <w:r>
              <w:rPr>
                <w:rFonts w:hint="eastAsia"/>
                <w:spacing w:val="6"/>
                <w:lang w:eastAsia="zh-CN"/>
              </w:rPr>
              <w:t>.质保期所更换的零配件必须是原厂全新的零配件 ，满足设备运行要求。</w:t>
            </w:r>
          </w:p>
          <w:p w14:paraId="78DEA07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4</w:t>
            </w:r>
            <w:r>
              <w:rPr>
                <w:rFonts w:hint="eastAsia"/>
                <w:spacing w:val="6"/>
                <w:lang w:eastAsia="zh-CN"/>
              </w:rPr>
              <w:t>.质量保证期承诺优于国家“三包”规定的 ，或优于招标文件规定的，按投标人实际承诺执行。</w:t>
            </w:r>
          </w:p>
          <w:p w14:paraId="386BA9A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5.</w:t>
            </w:r>
            <w:r>
              <w:rPr>
                <w:rFonts w:hint="eastAsia"/>
                <w:spacing w:val="6"/>
                <w:lang w:eastAsia="zh-CN"/>
              </w:rPr>
              <w:t>若在使用的前3个月内，出现非人为操作失误的重大故障，应予以免费换货。</w:t>
            </w:r>
          </w:p>
        </w:tc>
      </w:tr>
      <w:tr w14:paraId="2C5C1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03" w:type="pct"/>
            <w:vAlign w:val="top"/>
          </w:tcPr>
          <w:p w14:paraId="72E9038A">
            <w:pPr>
              <w:pStyle w:val="5"/>
              <w:spacing w:before="176" w:line="190" w:lineRule="auto"/>
              <w:ind w:left="125"/>
              <w:jc w:val="center"/>
              <w:outlineLvl w:val="0"/>
              <w:rPr>
                <w:rFonts w:hint="eastAsia"/>
                <w:spacing w:val="6"/>
                <w:lang w:eastAsia="zh-CN"/>
              </w:rPr>
            </w:pPr>
          </w:p>
          <w:p w14:paraId="2889C634">
            <w:pPr>
              <w:pStyle w:val="5"/>
              <w:spacing w:before="176" w:line="190" w:lineRule="auto"/>
              <w:ind w:left="125"/>
              <w:jc w:val="center"/>
              <w:outlineLvl w:val="0"/>
              <w:rPr>
                <w:rFonts w:hint="eastAsia"/>
                <w:spacing w:val="6"/>
                <w:lang w:eastAsia="zh-CN"/>
              </w:rPr>
            </w:pPr>
          </w:p>
          <w:p w14:paraId="71181ABA">
            <w:pPr>
              <w:pStyle w:val="5"/>
              <w:spacing w:before="176" w:line="190" w:lineRule="auto"/>
              <w:ind w:left="125"/>
              <w:jc w:val="center"/>
              <w:outlineLvl w:val="0"/>
              <w:rPr>
                <w:rFonts w:hint="eastAsia"/>
                <w:spacing w:val="6"/>
                <w:lang w:eastAsia="zh-CN"/>
              </w:rPr>
            </w:pPr>
          </w:p>
          <w:p w14:paraId="4B6D23A3">
            <w:pPr>
              <w:pStyle w:val="5"/>
              <w:spacing w:before="176" w:line="190" w:lineRule="auto"/>
              <w:ind w:left="125"/>
              <w:jc w:val="center"/>
              <w:outlineLvl w:val="0"/>
              <w:rPr>
                <w:rFonts w:hint="eastAsia"/>
                <w:spacing w:val="6"/>
                <w:lang w:eastAsia="zh-CN"/>
              </w:rPr>
            </w:pPr>
          </w:p>
          <w:p w14:paraId="0E12FF07">
            <w:pPr>
              <w:pStyle w:val="5"/>
              <w:spacing w:before="178" w:line="190" w:lineRule="auto"/>
              <w:ind w:left="125"/>
              <w:jc w:val="center"/>
              <w:rPr>
                <w:rFonts w:hint="eastAsia"/>
                <w:spacing w:val="6"/>
                <w:lang w:eastAsia="zh-CN"/>
              </w:rPr>
            </w:pPr>
            <w:r>
              <w:rPr>
                <w:rFonts w:hint="eastAsia"/>
                <w:spacing w:val="4"/>
                <w:lang w:eastAsia="zh-CN"/>
              </w:rPr>
              <w:t>售后服务要求</w:t>
            </w:r>
          </w:p>
        </w:tc>
        <w:tc>
          <w:tcPr>
            <w:tcW w:w="4296" w:type="pct"/>
            <w:vAlign w:val="top"/>
          </w:tcPr>
          <w:p w14:paraId="172CF1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1.提供维护手册、维修手册、软件备份、故障代码表、备件清单。保修期外，无偿提供维修密码及所附软件在该项目的永久使用权。提供相关设备的维修工程师姓名及电话号码，人员更换需要及时通知采购人。如国内有400、800等电话维修系统的提供电话号码。</w:t>
            </w:r>
          </w:p>
          <w:p w14:paraId="730F041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2.相关人员培训:标的包含医护人员及工程人员的培训计划费用 ，设备装机验收后，现场提供对采购人的 1 次或多次基本培训 ，使采购人使用人员及工程人员 ，熟练掌  握全部功能及基本维修。其中医务人员专项培训 2 人次，工程人员专项培训 2 人次，视采购人时间安排确定。</w:t>
            </w:r>
          </w:p>
          <w:p w14:paraId="32170BF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3. 提供 7*24 小时售后服务，接到采购人通知后 2 小时内作出实质响应（远程解决或做出预备维护动作），并在 24 小时内恢复设备运行；</w:t>
            </w:r>
          </w:p>
          <w:p w14:paraId="613AD2F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eastAsia="zh-CN"/>
              </w:rPr>
              <w:t>4.保修期内发生故障的设备如无法在 24 小时内修复，则应提供备用设备以保证系统 的连续稳定运行，并在 5 个工作日内修复故障设备或更换新设备，5个工作日内不能解决的，由成交供应商提供替代设备。保障系统正常运行 ，在无相同型号的同种设备时，则应更换同类设备中较高型号的产品。所产生的的费用，均包含在本次采购报价中，采购人不再承担任何费用。（</w:t>
            </w:r>
            <w:r>
              <w:rPr>
                <w:rFonts w:hint="eastAsia"/>
                <w:spacing w:val="6"/>
                <w:lang w:val="en-US" w:eastAsia="zh-CN"/>
              </w:rPr>
              <w:t>在大型设备中不适用）</w:t>
            </w:r>
          </w:p>
          <w:p w14:paraId="73C6B28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eastAsia="zh-CN"/>
              </w:rPr>
              <w:t>5.设备保修期（质保期）内因售后服务（包括但不限于原厂商服务和非原厂商服务，其中硬件的售后服务包括但不限于，硬件维护维修、配件更换、整机更换、硬件升级、提供替代品（</w:t>
            </w:r>
            <w:r>
              <w:rPr>
                <w:rFonts w:hint="eastAsia"/>
                <w:spacing w:val="6"/>
                <w:lang w:val="en-US" w:eastAsia="zh-CN"/>
              </w:rPr>
              <w:t>大型设备不适用）</w:t>
            </w:r>
            <w:r>
              <w:rPr>
                <w:rFonts w:hint="eastAsia"/>
                <w:spacing w:val="6"/>
                <w:lang w:eastAsia="zh-CN"/>
              </w:rPr>
              <w:t>；应用软件的售后服务包括但不限于应用软件维护升级以及非结构性修改）所产生的的费用 ，均包含在本次采购报价中 ，采购人不再承担任何费用。</w:t>
            </w:r>
          </w:p>
          <w:p w14:paraId="619325B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6.</w:t>
            </w:r>
            <w:r>
              <w:rPr>
                <w:rFonts w:hint="eastAsia"/>
                <w:spacing w:val="6"/>
                <w:lang w:eastAsia="zh-CN"/>
              </w:rPr>
              <w:t>设备保修期内，中标供应商负责对设备进行定期维护保养，每年至少四次（</w:t>
            </w:r>
            <w:r>
              <w:rPr>
                <w:rFonts w:hint="eastAsia"/>
                <w:spacing w:val="6"/>
                <w:lang w:val="en-US" w:eastAsia="zh-CN"/>
              </w:rPr>
              <w:t>每季度一次</w:t>
            </w:r>
            <w:r>
              <w:rPr>
                <w:rFonts w:hint="eastAsia"/>
                <w:spacing w:val="6"/>
                <w:lang w:eastAsia="zh-CN"/>
              </w:rPr>
              <w:t>），包括设备的安全检查、质量检查，运行状态检查，提供设备维护保养情况书面报告。并承担所发生的一切费用（包括更换零部件费、人工费和差旅费等）。</w:t>
            </w:r>
          </w:p>
          <w:p w14:paraId="0E5BA4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7.质保期</w:t>
            </w:r>
            <w:r>
              <w:rPr>
                <w:rFonts w:hint="eastAsia"/>
                <w:spacing w:val="6"/>
                <w:lang w:eastAsia="zh-CN"/>
              </w:rPr>
              <w:t>：≥</w:t>
            </w:r>
            <w:r>
              <w:rPr>
                <w:rFonts w:hint="eastAsia"/>
                <w:spacing w:val="6"/>
                <w:lang w:val="en-US" w:eastAsia="zh-CN"/>
              </w:rPr>
              <w:t>1</w:t>
            </w:r>
            <w:r>
              <w:rPr>
                <w:rFonts w:hint="eastAsia"/>
                <w:spacing w:val="6"/>
                <w:lang w:eastAsia="zh-CN"/>
              </w:rPr>
              <w:t xml:space="preserve"> 年。</w:t>
            </w:r>
          </w:p>
        </w:tc>
      </w:tr>
      <w:tr w14:paraId="3C545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4ECFE66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医疗器械</w:t>
            </w:r>
          </w:p>
          <w:p w14:paraId="73BF4982">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4"/>
                <w:lang w:eastAsia="zh-CN"/>
              </w:rPr>
            </w:pPr>
            <w:r>
              <w:rPr>
                <w:rFonts w:hint="eastAsia"/>
                <w:spacing w:val="6"/>
                <w:lang w:val="en-US" w:eastAsia="zh-CN"/>
              </w:rPr>
              <w:t>注册证</w:t>
            </w:r>
          </w:p>
        </w:tc>
        <w:tc>
          <w:tcPr>
            <w:tcW w:w="4296" w:type="pct"/>
            <w:vAlign w:val="top"/>
          </w:tcPr>
          <w:p w14:paraId="5D92B06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eastAsia="zh-CN"/>
              </w:rPr>
            </w:pPr>
            <w:r>
              <w:rPr>
                <w:rFonts w:hint="eastAsia"/>
                <w:spacing w:val="6"/>
                <w:lang w:val="en-US" w:eastAsia="zh-CN"/>
              </w:rPr>
              <w:t>以上货物供应商所投产品属医疗器械管理范畴的，投标产品属第二、三类医疗器 械产品的，投标响应文件中须按《医疗器械注册与备案管理办法》（国家市场监督管 理总局令第 47 号）提供该设备有效的医疗器械注册证复印件加盖投标人单位公章， 否则投标无效。</w:t>
            </w:r>
          </w:p>
        </w:tc>
      </w:tr>
      <w:tr w14:paraId="505F4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8" w:hRule="atLeast"/>
          <w:jc w:val="center"/>
        </w:trPr>
        <w:tc>
          <w:tcPr>
            <w:tcW w:w="703" w:type="pct"/>
            <w:vAlign w:val="top"/>
          </w:tcPr>
          <w:p w14:paraId="3DFF56DA">
            <w:pPr>
              <w:rPr>
                <w:rFonts w:hint="eastAsia" w:ascii="微软雅黑" w:hAnsi="微软雅黑" w:eastAsia="微软雅黑" w:cs="微软雅黑"/>
                <w:spacing w:val="6"/>
                <w:kern w:val="2"/>
                <w:sz w:val="20"/>
                <w:szCs w:val="20"/>
                <w:lang w:val="en-US" w:eastAsia="zh-CN" w:bidi="ar-SA"/>
              </w:rPr>
            </w:pPr>
          </w:p>
          <w:p w14:paraId="697FF60F">
            <w:pPr>
              <w:pStyle w:val="5"/>
              <w:spacing w:before="178" w:line="190" w:lineRule="auto"/>
              <w:jc w:val="both"/>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付款方式</w:t>
            </w:r>
          </w:p>
        </w:tc>
        <w:tc>
          <w:tcPr>
            <w:tcW w:w="4296" w:type="pct"/>
            <w:vAlign w:val="top"/>
          </w:tcPr>
          <w:p w14:paraId="3BE5917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jc w:val="left"/>
              <w:textAlignment w:val="auto"/>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 xml:space="preserve">1.合同签订全部设备安装使用验收合格后，4个月内支付95%货款，余下5%待设备质保期满后无质量问题，3个月内无息支付。 </w:t>
            </w:r>
          </w:p>
          <w:p w14:paraId="0767F91A">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ascii="微软雅黑" w:hAnsi="微软雅黑" w:eastAsia="微软雅黑" w:cs="微软雅黑"/>
                <w:spacing w:val="6"/>
                <w:kern w:val="2"/>
                <w:sz w:val="20"/>
                <w:szCs w:val="20"/>
                <w:lang w:val="en-US" w:eastAsia="zh-CN" w:bidi="ar-SA"/>
              </w:rPr>
            </w:pPr>
            <w:r>
              <w:rPr>
                <w:rFonts w:hint="eastAsia" w:ascii="微软雅黑" w:hAnsi="微软雅黑" w:eastAsia="微软雅黑" w:cs="微软雅黑"/>
                <w:spacing w:val="6"/>
                <w:kern w:val="2"/>
                <w:sz w:val="20"/>
                <w:szCs w:val="20"/>
                <w:lang w:val="en-US" w:eastAsia="zh-CN" w:bidi="ar-SA"/>
              </w:rPr>
              <w:t>2.付款时，中标人须提供符合要求的发票给甲方，否则甲方的付款期限顺延。中标人应当确保发票真实无误且合法有效，如发现存在虚假发票或违规发票的，中标人须赔偿采购人发票票面金额一倍的违约金，且采购人有权终止合同，因终止合同而产生的一切损失均由中标人承担。</w:t>
            </w:r>
          </w:p>
        </w:tc>
      </w:tr>
      <w:tr w14:paraId="085DD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vAlign w:val="top"/>
          </w:tcPr>
          <w:p w14:paraId="15F979A5">
            <w:pPr>
              <w:pStyle w:val="5"/>
              <w:keepNext w:val="0"/>
              <w:keepLines w:val="0"/>
              <w:pageBreakBefore w:val="0"/>
              <w:widowControl/>
              <w:wordWrap/>
              <w:overflowPunct/>
              <w:topLinePunct w:val="0"/>
              <w:bidi w:val="0"/>
              <w:adjustRightInd w:val="0"/>
              <w:snapToGrid w:val="0"/>
              <w:spacing w:before="176" w:line="240" w:lineRule="exact"/>
              <w:textAlignment w:val="baseline"/>
              <w:outlineLvl w:val="0"/>
              <w:rPr>
                <w:rFonts w:hint="eastAsia"/>
                <w:spacing w:val="6"/>
                <w:lang w:val="en-US" w:eastAsia="zh-CN"/>
              </w:rPr>
            </w:pPr>
            <w:r>
              <w:rPr>
                <w:rFonts w:hint="eastAsia"/>
                <w:spacing w:val="6"/>
                <w:lang w:val="en-US" w:eastAsia="zh-CN"/>
              </w:rPr>
              <w:t>履约保证金</w:t>
            </w:r>
          </w:p>
        </w:tc>
        <w:tc>
          <w:tcPr>
            <w:tcW w:w="4296" w:type="pct"/>
            <w:vAlign w:val="top"/>
          </w:tcPr>
          <w:p w14:paraId="6C15FAA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eastAsia"/>
                <w:spacing w:val="6"/>
                <w:lang w:val="en-US" w:eastAsia="zh-CN"/>
              </w:rPr>
              <w:t>无</w:t>
            </w:r>
          </w:p>
        </w:tc>
      </w:tr>
      <w:tr w14:paraId="5D6131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4E789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2BE5F30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41184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626995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7A4631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验收标准、验收方法及方案</w:t>
            </w:r>
          </w:p>
        </w:tc>
        <w:tc>
          <w:tcPr>
            <w:tcW w:w="4296" w:type="pct"/>
            <w:shd w:val="clear" w:color="auto" w:fill="auto"/>
            <w:vAlign w:val="top"/>
          </w:tcPr>
          <w:p w14:paraId="038407C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1.中标人提供不符合公告规定的、采购文件、投标文件承诺的或本合同规定的货物，采购人有权拒绝接受。</w:t>
            </w:r>
          </w:p>
          <w:p w14:paraId="5E9D149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2.中标人应将所提供货物的装箱清单、用户手册、原厂保修卡、随机资料、工具和备品、备件、验收单等交付给采购人 ，如有缺失应在采购人要求的期限内及时补齐 ，否则视为 逾期交货。</w:t>
            </w:r>
          </w:p>
          <w:p w14:paraId="7C3F22A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3. 验收过程中所产生的一切费用均由中标供应商承担，包括邀请第三方检测机构出具检测报告的费用、邀请第三方验收代理机构组织验收的费用以及因检测或验收不合格导致开展再次检测或验收所产生的费用等。</w:t>
            </w:r>
          </w:p>
          <w:p w14:paraId="20A04A99">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4.中标供应商所提供的设备必须是全新、完整、未使用过的产品，否则视为不合格产品，不予签收，由此产生的所有费用由投标供应商承担，其产品须符合国家、行业有关规定。产品到达现场后，中标供应商应在采购人在场情况下当面开箱，共同清点、检查外观，作出开箱记录，双方签字确认。中标供应商应保证货物到达采购人所在地完好无损，如有缺漏、损坏，由中标人负责调换、补齐或赔偿。</w:t>
            </w:r>
          </w:p>
          <w:p w14:paraId="3208EA24">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5.产品或服务在安装调试并试运行符合要求后，由验收小组按照采购合同规定的技术、服务、功能、安全标准组织对供应商履约情况进行验收。采购项目的验收，必须严格按照合同与补充合同的约定进行，不得增加合同与补充合同内容规定以外的新的验收内容或标准。其他未尽事宜，按照《关于印发广西壮族自治区政府采购项目履约验收管理办法的通知》（桂财采〔2015〕22号）的相关要求执行。</w:t>
            </w:r>
          </w:p>
          <w:p w14:paraId="13D39B92">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6.中标供应商提供的货物或服务未达到招标文件规定要求，且对采购人造成损失的，由中标供应商承担一切责任，并赔偿所造成的损失。</w:t>
            </w:r>
          </w:p>
          <w:p w14:paraId="570E38CE">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7.采购人需要制造商对中标供应商交付的产品或服务（包括质量、参数等）进行确认的，制造商应予以配合并出具书面意见，相关配合事项由中标供应商与制造商协调。</w:t>
            </w:r>
          </w:p>
          <w:p w14:paraId="7B4CC72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8.中标供应商在验收时须附上设备有效的医疗器械注册证及完整内容的医疗器械注册证附件（注册产品标准/产品技术要求）复印件。（如涉及2类、3类医疗器械时必须提供，1类医疗器械如有请提供，不涉及不提供）。</w:t>
            </w:r>
          </w:p>
          <w:p w14:paraId="4660BC2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en-US"/>
              </w:rPr>
            </w:pPr>
            <w:r>
              <w:rPr>
                <w:rFonts w:hint="eastAsia"/>
                <w:spacing w:val="6"/>
                <w:lang w:val="en-US" w:eastAsia="zh-CN"/>
              </w:rPr>
              <w:t>9.</w:t>
            </w:r>
            <w:r>
              <w:rPr>
                <w:rFonts w:hint="eastAsia" w:ascii="微软雅黑" w:hAnsi="微软雅黑" w:eastAsia="微软雅黑" w:cs="微软雅黑"/>
                <w:snapToGrid w:val="0"/>
                <w:color w:val="000000"/>
                <w:spacing w:val="6"/>
                <w:kern w:val="0"/>
                <w:sz w:val="20"/>
                <w:szCs w:val="20"/>
                <w:lang w:val="en-US" w:eastAsia="zh-CN" w:bidi="ar-SA"/>
              </w:rPr>
              <w:t>除采购人需要的</w:t>
            </w:r>
            <w:r>
              <w:rPr>
                <w:rFonts w:hint="default" w:ascii="微软雅黑" w:hAnsi="微软雅黑" w:eastAsia="微软雅黑" w:cs="微软雅黑"/>
                <w:snapToGrid w:val="0"/>
                <w:color w:val="000000"/>
                <w:spacing w:val="6"/>
                <w:kern w:val="0"/>
                <w:sz w:val="20"/>
                <w:szCs w:val="20"/>
                <w:lang w:val="en-US" w:eastAsia="zh-CN" w:bidi="ar-SA"/>
              </w:rPr>
              <w:t>产品包装材料外，产品验收后所产生的废弃物（如泡沫、塑料膜、包装袋、安装调试所产生的废弃物等）由中标方处理。</w:t>
            </w:r>
          </w:p>
        </w:tc>
      </w:tr>
      <w:tr w14:paraId="271FC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703" w:type="pct"/>
            <w:shd w:val="clear" w:color="auto" w:fill="auto"/>
            <w:vAlign w:val="top"/>
          </w:tcPr>
          <w:p w14:paraId="7641C92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4A22CA80">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1AE6F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AD5FBA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563F8E3F">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08D5EB1">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7C62621B">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p w14:paraId="1E134FA3">
            <w:pPr>
              <w:pStyle w:val="5"/>
              <w:keepNext w:val="0"/>
              <w:keepLines w:val="0"/>
              <w:pageBreakBefore w:val="0"/>
              <w:widowControl/>
              <w:wordWrap/>
              <w:overflowPunct/>
              <w:topLinePunct w:val="0"/>
              <w:bidi w:val="0"/>
              <w:adjustRightInd w:val="0"/>
              <w:snapToGrid w:val="0"/>
              <w:spacing w:before="176" w:line="240" w:lineRule="exact"/>
              <w:ind w:left="125" w:firstLine="212" w:firstLineChars="100"/>
              <w:textAlignment w:val="baseline"/>
              <w:outlineLvl w:val="0"/>
              <w:rPr>
                <w:rFonts w:hint="eastAsia"/>
                <w:spacing w:val="6"/>
                <w:lang w:val="en-US" w:eastAsia="zh-CN"/>
              </w:rPr>
            </w:pPr>
            <w:r>
              <w:rPr>
                <w:rFonts w:hint="eastAsia"/>
                <w:spacing w:val="6"/>
                <w:lang w:val="en-US" w:eastAsia="zh-CN"/>
              </w:rPr>
              <w:t>其它要求</w:t>
            </w:r>
          </w:p>
        </w:tc>
        <w:tc>
          <w:tcPr>
            <w:tcW w:w="4296" w:type="pct"/>
            <w:shd w:val="clear" w:color="auto" w:fill="auto"/>
            <w:vAlign w:val="top"/>
          </w:tcPr>
          <w:p w14:paraId="36D8F343">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1</w:t>
            </w:r>
            <w:r>
              <w:rPr>
                <w:rFonts w:hint="eastAsia"/>
                <w:spacing w:val="6"/>
                <w:lang w:val="en-US" w:eastAsia="zh-CN"/>
              </w:rPr>
              <w:t>.投标文件中提供投标产品对外公开的产品彩页或说明书（体现技术参数 ，可以是从生产厂家网页下载的PDF或HTM文件或在食品药品监督管理部门备案的技术参数或检测报告或生产厂家盖章的技术参数证明材料），以供评标时核对。当投标文件提供的仪器性能参数与该仪器生产商提供的性能参数不符合时，以后者为准。</w:t>
            </w:r>
          </w:p>
          <w:p w14:paraId="0D37A0CD">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2</w:t>
            </w:r>
            <w:r>
              <w:rPr>
                <w:rFonts w:hint="eastAsia"/>
                <w:spacing w:val="6"/>
                <w:lang w:val="en-US" w:eastAsia="zh-CN"/>
              </w:rPr>
              <w:t>中标人在供货时必须提供所投标产品生产厂家合法授权的厂家代理商出具的授权书 ，原件备查。</w:t>
            </w:r>
          </w:p>
          <w:p w14:paraId="38512CB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default"/>
                <w:spacing w:val="6"/>
                <w:lang w:val="en-US" w:eastAsia="zh-CN"/>
              </w:rPr>
            </w:pPr>
            <w:r>
              <w:rPr>
                <w:rFonts w:hint="default"/>
                <w:spacing w:val="6"/>
                <w:lang w:val="en-US" w:eastAsia="zh-CN"/>
              </w:rPr>
              <w:t>3</w:t>
            </w:r>
            <w:r>
              <w:rPr>
                <w:rFonts w:hint="eastAsia"/>
                <w:spacing w:val="6"/>
                <w:lang w:val="en-US" w:eastAsia="zh-CN"/>
              </w:rPr>
              <w:t>.中标人逾期交货的，每天向采购人偿付违约货款额0.5‰违约金，超过15天采购人有权解除合同，中标人应按合同总金额的30%向采购人支付违约金，并承担因此给采购人造成经济损失。</w:t>
            </w:r>
          </w:p>
          <w:p w14:paraId="5D33D037">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4</w:t>
            </w:r>
            <w:r>
              <w:rPr>
                <w:rFonts w:hint="eastAsia"/>
                <w:spacing w:val="6"/>
                <w:lang w:val="en-US" w:eastAsia="zh-CN"/>
              </w:rPr>
              <w:t>.本项目货物接受进口产品投标，投标产品可选用进口产品。但如选用进口产品时必须为全套原装进口产品（即通过中国海关报关验放进入中国境内且产自关境外的产品），同时投标人必须负责办理进口产品所有相关手续并承担所有费用。优先采购向我国企业转让技术、与我国企业签订消化吸收再进口产品说明创新方案的投标人的进口产品。</w:t>
            </w:r>
          </w:p>
          <w:p w14:paraId="4F173FAC">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eastAsia"/>
                <w:spacing w:val="6"/>
                <w:lang w:val="en-US" w:eastAsia="zh-CN"/>
              </w:rPr>
              <w:t>如供应商投标的产品为进口产品的，要求原厂商或区域总代理商出具的针对本项目的授权书，否则投标无效。</w:t>
            </w:r>
          </w:p>
          <w:p w14:paraId="209E76D6">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5</w:t>
            </w:r>
            <w:r>
              <w:rPr>
                <w:rFonts w:hint="eastAsia"/>
                <w:spacing w:val="6"/>
                <w:lang w:val="en-US" w:eastAsia="zh-CN"/>
              </w:rPr>
              <w:t>.在安装期间，未按安全文明作业规范要求进行的，尤其是违犯工完场清和禁烟规定的，限期整改不合格的，视情节严重情况扣除服务费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 xml:space="preserve">次。 </w:t>
            </w:r>
          </w:p>
          <w:p w14:paraId="0016EFB5">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r>
              <w:rPr>
                <w:rFonts w:hint="default"/>
                <w:spacing w:val="6"/>
                <w:lang w:val="en-US" w:eastAsia="zh-CN"/>
              </w:rPr>
              <w:t>6</w:t>
            </w:r>
            <w:r>
              <w:rPr>
                <w:rFonts w:hint="eastAsia"/>
                <w:spacing w:val="6"/>
                <w:lang w:val="en-US" w:eastAsia="zh-CN"/>
              </w:rPr>
              <w:t>.发生其他安装和维保不合格情况的，限期整改不合格的，视情节严重情况扣除服务费</w:t>
            </w:r>
            <w:r>
              <w:rPr>
                <w:rFonts w:hint="default"/>
                <w:spacing w:val="6"/>
                <w:lang w:val="en-US" w:eastAsia="zh-CN"/>
              </w:rPr>
              <w:t>10-1000</w:t>
            </w:r>
            <w:r>
              <w:rPr>
                <w:rFonts w:hint="eastAsia"/>
                <w:spacing w:val="6"/>
                <w:lang w:val="en-US" w:eastAsia="zh-CN"/>
              </w:rPr>
              <w:t>元</w:t>
            </w:r>
            <w:r>
              <w:rPr>
                <w:rFonts w:hint="default"/>
                <w:spacing w:val="6"/>
                <w:lang w:val="en-US" w:eastAsia="zh-CN"/>
              </w:rPr>
              <w:t>/</w:t>
            </w:r>
            <w:r>
              <w:rPr>
                <w:rFonts w:hint="eastAsia"/>
                <w:spacing w:val="6"/>
                <w:lang w:val="en-US" w:eastAsia="zh-CN"/>
              </w:rPr>
              <w:t>次。情节特别严重，导致项目无法实施的，采购人免责终止服务合同。</w:t>
            </w:r>
          </w:p>
          <w:p w14:paraId="4C2126EA">
            <w:pPr>
              <w:pStyle w:val="5"/>
              <w:keepNext w:val="0"/>
              <w:keepLines w:val="0"/>
              <w:pageBreakBefore w:val="0"/>
              <w:widowControl/>
              <w:wordWrap/>
              <w:overflowPunct/>
              <w:topLinePunct w:val="0"/>
              <w:bidi w:val="0"/>
              <w:adjustRightInd w:val="0"/>
              <w:snapToGrid w:val="0"/>
              <w:spacing w:before="176" w:line="240" w:lineRule="exact"/>
              <w:ind w:left="125"/>
              <w:textAlignment w:val="baseline"/>
              <w:outlineLvl w:val="0"/>
              <w:rPr>
                <w:rFonts w:hint="eastAsia"/>
                <w:spacing w:val="6"/>
                <w:lang w:val="en-US" w:eastAsia="zh-CN"/>
              </w:rPr>
            </w:pPr>
          </w:p>
        </w:tc>
      </w:tr>
    </w:tbl>
    <w:p w14:paraId="34120740">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95372F"/>
    <w:rsid w:val="3758232B"/>
    <w:rsid w:val="424961B9"/>
    <w:rsid w:val="445D39F9"/>
    <w:rsid w:val="67E77EBF"/>
    <w:rsid w:val="6C033CDD"/>
    <w:rsid w:val="7B886D78"/>
    <w:rsid w:val="7CAF41D8"/>
    <w:rsid w:val="7D2708CA"/>
    <w:rsid w:val="7F743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widowControl w:val="0"/>
      <w:spacing w:before="100" w:beforeAutospacing="1" w:after="10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5">
    <w:name w:val="Table Text"/>
    <w:semiHidden/>
    <w:qFormat/>
    <w:uiPriority w:val="0"/>
    <w:pPr>
      <w:widowControl w:val="0"/>
      <w:jc w:val="both"/>
    </w:pPr>
    <w:rPr>
      <w:rFonts w:ascii="微软雅黑" w:hAnsi="微软雅黑" w:eastAsia="微软雅黑" w:cs="微软雅黑"/>
      <w:kern w:val="2"/>
      <w:sz w:val="20"/>
      <w:szCs w:val="20"/>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Words>
  <Characters>205</Characters>
  <Lines>0</Lines>
  <Paragraphs>0</Paragraphs>
  <TotalTime>0</TotalTime>
  <ScaleCrop>false</ScaleCrop>
  <LinksUpToDate>false</LinksUpToDate>
  <CharactersWithSpaces>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2025-02-25T02:22:00Z</dcterms:created>
  <dc:creator>user</dc:creator>
  <cp:lastModifiedBy>福记</cp:lastModifiedBy>
  <dcterms:modified xsi:type="dcterms:W3CDTF">2025-04-16T09:37:25Z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eyJoZGlkIjoiOGUxNzZkMmQ3N2IyYzdlZDQxMzZlOTA3MjhlYmU3MTIiLCJ1c2VySWQiOiI2ODUyMTk1ODMifQ==</vt:lpwstr>
  </property>
  <property fmtid="{D5CDD505-2E9C-101B-9397-08002B2CF9AE}" pid="4" name="ICV">
    <vt:lpwstr>C10D92E6BC824B43952D67BDE9AACBF6_12</vt:lpwstr>
  </property>
</Properties>
</file>