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69D6E">
      <w:pPr>
        <w:spacing w:line="320" w:lineRule="exact"/>
        <w:rPr>
          <w:b/>
          <w:sz w:val="24"/>
        </w:rPr>
      </w:pPr>
    </w:p>
    <w:p w14:paraId="23AF529F">
      <w:pPr>
        <w:spacing w:line="320" w:lineRule="exact"/>
        <w:rPr>
          <w:b/>
          <w:sz w:val="24"/>
        </w:rPr>
      </w:pPr>
      <w:r>
        <w:rPr>
          <w:rFonts w:hint="eastAsia"/>
          <w:b/>
          <w:sz w:val="24"/>
        </w:rPr>
        <w:t>附表</w:t>
      </w:r>
      <w:r>
        <w:rPr>
          <w:b/>
          <w:sz w:val="24"/>
        </w:rPr>
        <w:t>3</w:t>
      </w:r>
    </w:p>
    <w:p w14:paraId="2770CEC6">
      <w:pPr>
        <w:spacing w:line="380" w:lineRule="exact"/>
        <w:jc w:val="center"/>
      </w:pPr>
      <w:r>
        <w:rPr>
          <w:rFonts w:hint="eastAsia" w:ascii="宋体" w:hAnsi="宋体" w:cs="宋体"/>
          <w:b/>
          <w:bCs/>
          <w:color w:val="000000"/>
          <w:kern w:val="0"/>
          <w:sz w:val="36"/>
          <w:szCs w:val="36"/>
        </w:rPr>
        <w:t>政府采购进口产品专家论证意见</w:t>
      </w:r>
    </w:p>
    <w:tbl>
      <w:tblPr>
        <w:tblStyle w:val="2"/>
        <w:tblW w:w="97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1"/>
        <w:gridCol w:w="6749"/>
      </w:tblGrid>
      <w:tr w14:paraId="0F08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0A4E2AF8">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一、基本情况</w:t>
            </w:r>
          </w:p>
        </w:tc>
      </w:tr>
      <w:tr w14:paraId="546E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1" w:type="dxa"/>
            <w:vAlign w:val="center"/>
          </w:tcPr>
          <w:p w14:paraId="77761CB6">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申请单位</w:t>
            </w:r>
          </w:p>
        </w:tc>
        <w:tc>
          <w:tcPr>
            <w:tcW w:w="6749" w:type="dxa"/>
            <w:vAlign w:val="center"/>
          </w:tcPr>
          <w:p w14:paraId="6C3C4681">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广西壮族自治区江滨医院</w:t>
            </w:r>
          </w:p>
        </w:tc>
      </w:tr>
      <w:tr w14:paraId="2D52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1" w:type="dxa"/>
            <w:vAlign w:val="center"/>
          </w:tcPr>
          <w:p w14:paraId="356775F8">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拟采购产品名称</w:t>
            </w:r>
          </w:p>
        </w:tc>
        <w:tc>
          <w:tcPr>
            <w:tcW w:w="6749" w:type="dxa"/>
            <w:vAlign w:val="center"/>
          </w:tcPr>
          <w:p w14:paraId="37B841EF">
            <w:pPr>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pPr>
            <w:r>
              <w:rPr>
                <w:rFonts w:hint="eastAsia" w:ascii="宋体" w:hAnsi="宋体" w:eastAsia="宋体" w:cs="宋体"/>
                <w:color w:val="000000"/>
                <w:kern w:val="0"/>
                <w:sz w:val="24"/>
                <w:szCs w:val="24"/>
              </w:rPr>
              <w:t xml:space="preserve">电子支气管镜系统 </w:t>
            </w:r>
          </w:p>
        </w:tc>
      </w:tr>
      <w:tr w14:paraId="15A5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1" w:type="dxa"/>
            <w:vAlign w:val="center"/>
          </w:tcPr>
          <w:p w14:paraId="0074A0FA">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拟采购产品金额</w:t>
            </w:r>
          </w:p>
        </w:tc>
        <w:tc>
          <w:tcPr>
            <w:tcW w:w="6749" w:type="dxa"/>
            <w:vAlign w:val="center"/>
          </w:tcPr>
          <w:p w14:paraId="3EB1E868">
            <w:pPr>
              <w:ind w:right="-69" w:rightChars="-33"/>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300</w:t>
            </w:r>
            <w:r>
              <w:rPr>
                <w:rFonts w:hint="eastAsia" w:ascii="宋体" w:hAnsi="宋体" w:eastAsia="宋体" w:cs="宋体"/>
                <w:color w:val="000000" w:themeColor="text1"/>
                <w:kern w:val="0"/>
                <w:sz w:val="24"/>
                <w:szCs w:val="24"/>
                <w14:textFill>
                  <w14:solidFill>
                    <w14:schemeClr w14:val="tx1"/>
                  </w14:solidFill>
                </w14:textFill>
              </w:rPr>
              <w:t>万元</w:t>
            </w:r>
          </w:p>
        </w:tc>
      </w:tr>
      <w:tr w14:paraId="4013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1" w:type="dxa"/>
            <w:vAlign w:val="center"/>
          </w:tcPr>
          <w:p w14:paraId="747FE658">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采购项目所属项目名称</w:t>
            </w:r>
          </w:p>
        </w:tc>
        <w:tc>
          <w:tcPr>
            <w:tcW w:w="6749" w:type="dxa"/>
            <w:vAlign w:val="center"/>
          </w:tcPr>
          <w:p w14:paraId="0762BAFE">
            <w:pPr>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pPr>
            <w:r>
              <w:rPr>
                <w:rFonts w:hint="eastAsia" w:ascii="宋体" w:hAnsi="宋体" w:eastAsia="宋体" w:cs="宋体"/>
                <w:color w:val="000000"/>
                <w:kern w:val="0"/>
                <w:sz w:val="24"/>
                <w:szCs w:val="24"/>
              </w:rPr>
              <w:t xml:space="preserve">电子支气管镜系统 </w:t>
            </w:r>
          </w:p>
        </w:tc>
      </w:tr>
      <w:tr w14:paraId="280D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91" w:type="dxa"/>
            <w:vAlign w:val="center"/>
          </w:tcPr>
          <w:p w14:paraId="338E9E59">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采购项目所属项目金额</w:t>
            </w:r>
          </w:p>
        </w:tc>
        <w:tc>
          <w:tcPr>
            <w:tcW w:w="6749" w:type="dxa"/>
            <w:vAlign w:val="center"/>
          </w:tcPr>
          <w:p w14:paraId="74DB2B0E">
            <w:pPr>
              <w:rPr>
                <w:rFonts w:hint="eastAsia" w:ascii="宋体" w:hAnsi="宋体" w:eastAsia="宋体" w:cs="宋体"/>
                <w:color w:val="000000" w:themeColor="text1"/>
                <w:kern w:val="0"/>
                <w:sz w:val="24"/>
                <w:szCs w:val="24"/>
                <w:highlight w:val="yellow"/>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300</w:t>
            </w:r>
            <w:r>
              <w:rPr>
                <w:rFonts w:hint="eastAsia" w:ascii="宋体" w:hAnsi="宋体" w:eastAsia="宋体" w:cs="宋体"/>
                <w:color w:val="000000" w:themeColor="text1"/>
                <w:kern w:val="0"/>
                <w:sz w:val="24"/>
                <w:szCs w:val="24"/>
                <w14:textFill>
                  <w14:solidFill>
                    <w14:schemeClr w14:val="tx1"/>
                  </w14:solidFill>
                </w14:textFill>
              </w:rPr>
              <w:t>万元</w:t>
            </w:r>
          </w:p>
        </w:tc>
      </w:tr>
      <w:tr w14:paraId="0B33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11A37B60">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二、申请理由</w:t>
            </w:r>
          </w:p>
        </w:tc>
      </w:tr>
      <w:tr w14:paraId="697F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2EDE99F6">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1.中国</w:t>
            </w:r>
            <w:r>
              <w:rPr>
                <w:rFonts w:hint="eastAsia" w:ascii="宋体" w:hAnsi="宋体" w:eastAsia="宋体" w:cs="宋体"/>
                <w:kern w:val="0"/>
                <w:sz w:val="24"/>
                <w:szCs w:val="24"/>
              </w:rPr>
              <w:t>境内无法获取：</w:t>
            </w:r>
            <w:r>
              <w:rPr>
                <w:rFonts w:hint="eastAsia" w:ascii="宋体" w:hAnsi="宋体" w:eastAsia="宋体" w:cs="宋体"/>
                <w:color w:val="000000"/>
                <w:kern w:val="0"/>
                <w:sz w:val="24"/>
                <w:szCs w:val="24"/>
              </w:rPr>
              <w:t>国内无满足技术要求的产品</w:t>
            </w:r>
          </w:p>
        </w:tc>
      </w:tr>
      <w:tr w14:paraId="71D1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79741BB6">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□2.无法以合理的商业条件获取：</w:t>
            </w:r>
          </w:p>
        </w:tc>
      </w:tr>
      <w:tr w14:paraId="0A5B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15036412">
            <w:pPr>
              <w:widowControl/>
              <w:spacing w:line="3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w:t>
            </w:r>
          </w:p>
        </w:tc>
      </w:tr>
      <w:tr w14:paraId="3380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40" w:type="dxa"/>
            <w:gridSpan w:val="2"/>
            <w:vAlign w:val="center"/>
          </w:tcPr>
          <w:p w14:paraId="03D84C33">
            <w:pPr>
              <w:spacing w:line="3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rPr>
              <w:t>一、采购产品的设备用途</w:t>
            </w:r>
          </w:p>
          <w:p w14:paraId="42E4940A">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拟采购的电子支气管镜系统主要用于临床呼吸领域的诊断治疗，它可以提高临床医生对于肺部疾病诊断的准确率，尤其是在目前肺癌高发的背景下，支气管镜技术对于肺癌的确诊及病理分型有重要意义，在明确病理分型的基础上即可在我院决定是否手术治疗或者是选择何种化疗方案，对我们诊疗水平的提高有重要意义。</w:t>
            </w:r>
          </w:p>
          <w:p w14:paraId="2384877C">
            <w:pPr>
              <w:spacing w:line="340" w:lineRule="exact"/>
              <w:ind w:firstLine="360" w:firstLineChars="150"/>
              <w:rPr>
                <w:rFonts w:hint="eastAsia" w:ascii="宋体" w:hAnsi="宋体" w:eastAsia="宋体" w:cs="宋体"/>
                <w:sz w:val="24"/>
                <w:szCs w:val="24"/>
              </w:rPr>
            </w:pPr>
          </w:p>
          <w:p w14:paraId="0C8E092C">
            <w:pPr>
              <w:numPr>
                <w:ilvl w:val="0"/>
                <w:numId w:val="0"/>
              </w:numPr>
              <w:ind w:firstLine="482" w:firstLineChars="200"/>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二、技术参数</w:t>
            </w:r>
          </w:p>
          <w:p w14:paraId="0D466827">
            <w:pPr>
              <w:numPr>
                <w:ilvl w:val="0"/>
                <w:numId w:val="0"/>
              </w:numPr>
              <w:spacing w:line="240" w:lineRule="auto"/>
              <w:ind w:firstLine="480" w:firstLineChars="20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w:t>
            </w:r>
            <w:r>
              <w:rPr>
                <w:rFonts w:hint="eastAsia" w:ascii="宋体" w:hAnsi="宋体" w:eastAsia="宋体" w:cs="宋体"/>
                <w:sz w:val="24"/>
                <w:szCs w:val="24"/>
              </w:rPr>
              <w:t>全数字化内窥镜图像处理器</w:t>
            </w:r>
          </w:p>
          <w:p w14:paraId="2D045DA2">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整体设计理念：光源主机一体化设计，以数字化理念为先导，致力于尖端图像处理技术的开发和应用，集先进的光学技术和数码技术于一体，是一套真正实现全数字化处理和全数字化输出的内窥镜电子影像系统,。</w:t>
            </w:r>
          </w:p>
          <w:p w14:paraId="39AC1950">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2、信号传输：数字HDTV</w:t>
            </w:r>
            <w:r>
              <w:rPr>
                <w:rFonts w:hint="eastAsia" w:ascii="宋体" w:hAnsi="宋体" w:eastAsia="宋体" w:cs="宋体"/>
                <w:sz w:val="24"/>
                <w:szCs w:val="24"/>
              </w:rPr>
              <w:tab/>
            </w:r>
            <w:r>
              <w:rPr>
                <w:rFonts w:hint="eastAsia" w:ascii="宋体" w:hAnsi="宋体" w:eastAsia="宋体" w:cs="宋体"/>
                <w:sz w:val="24"/>
                <w:szCs w:val="24"/>
              </w:rPr>
              <w:t>DVI-D:2(1920xl080P)；模拟SDTV</w:t>
            </w:r>
            <w:r>
              <w:rPr>
                <w:rFonts w:hint="eastAsia" w:ascii="宋体" w:hAnsi="宋体" w:eastAsia="宋体" w:cs="宋体"/>
                <w:sz w:val="24"/>
                <w:szCs w:val="24"/>
              </w:rPr>
              <w:tab/>
            </w:r>
            <w:r>
              <w:rPr>
                <w:rFonts w:hint="eastAsia" w:ascii="宋体" w:hAnsi="宋体" w:eastAsia="宋体" w:cs="宋体"/>
                <w:sz w:val="24"/>
                <w:szCs w:val="24"/>
              </w:rPr>
              <w:t>RGB TV： 1， S VIDEO： 1， VIDEO： 1</w:t>
            </w:r>
          </w:p>
          <w:p w14:paraId="31BD5F2A">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3、屏幕分辨率：SXGA（默认），全高清</w:t>
            </w:r>
          </w:p>
          <w:p w14:paraId="2DCD3B91">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4、色彩调节：亮度，RGB,色度：9档可调(-4至+4),红色色调：9档可调（M4至Y4）</w:t>
            </w:r>
          </w:p>
          <w:p w14:paraId="25E37232">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5、对比度：3档可调（-1至+1）</w:t>
            </w:r>
          </w:p>
          <w:p w14:paraId="4A3E3194">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6、测光模式：包括平均测光、、峰值测光及自动测光。平均测光：控制普通画面亮度 ；峰值测光：控制高亮区域亮度；自动测光：自动设置光学光圈的平均测光或者峰值测光光圈"</w:t>
            </w:r>
          </w:p>
          <w:p w14:paraId="7CA68E9B">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7、结构强调：</w:t>
            </w:r>
            <w:r>
              <w:rPr>
                <w:rFonts w:hint="eastAsia" w:ascii="宋体" w:hAnsi="宋体" w:eastAsia="宋体" w:cs="宋体"/>
                <w:sz w:val="24"/>
                <w:szCs w:val="24"/>
              </w:rPr>
              <w:tab/>
            </w:r>
            <w:r>
              <w:rPr>
                <w:rFonts w:hint="eastAsia" w:ascii="宋体" w:hAnsi="宋体" w:eastAsia="宋体" w:cs="宋体"/>
                <w:sz w:val="24"/>
                <w:szCs w:val="24"/>
              </w:rPr>
              <w:t>SE4级，DH-4至+4, DL 4至+4</w:t>
            </w:r>
          </w:p>
          <w:p w14:paraId="374E6CE4">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8、色彩强调：</w:t>
            </w:r>
            <w:r>
              <w:rPr>
                <w:rFonts w:hint="eastAsia" w:ascii="宋体" w:hAnsi="宋体" w:eastAsia="宋体" w:cs="宋体"/>
                <w:sz w:val="24"/>
                <w:szCs w:val="24"/>
              </w:rPr>
              <w:tab/>
            </w:r>
            <w:r>
              <w:rPr>
                <w:rFonts w:hint="eastAsia" w:ascii="宋体" w:hAnsi="宋体" w:eastAsia="宋体" w:cs="宋体"/>
                <w:sz w:val="24"/>
                <w:szCs w:val="24"/>
              </w:rPr>
              <w:t>ON/OFF</w:t>
            </w:r>
          </w:p>
          <w:p w14:paraId="43D15B50">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9、图像放大</w:t>
            </w:r>
            <w:r>
              <w:rPr>
                <w:rFonts w:hint="eastAsia" w:ascii="宋体" w:hAnsi="宋体" w:eastAsia="宋体" w:cs="宋体"/>
                <w:sz w:val="24"/>
                <w:szCs w:val="24"/>
              </w:rPr>
              <w:tab/>
            </w:r>
            <w:r>
              <w:rPr>
                <w:rFonts w:hint="eastAsia" w:ascii="宋体" w:hAnsi="宋体" w:eastAsia="宋体" w:cs="宋体"/>
                <w:sz w:val="24"/>
                <w:szCs w:val="24"/>
              </w:rPr>
              <w:t>兼容内镜均可电子放大2倍，0.05级逐级放大，共20级</w:t>
            </w:r>
          </w:p>
          <w:p w14:paraId="5AAD54F8">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10、特殊光模式：LCI, BLI, BLI-bright, FICE</w:t>
            </w:r>
          </w:p>
          <w:p w14:paraId="054E1117">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11、冻结模式：实时冻结，有三种冻结模式可选</w:t>
            </w:r>
          </w:p>
          <w:p w14:paraId="5CF4C313">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12、快门速度：正常 1/60-1/200, 高1/100-1/800,高(放大镜)1/100-1/800</w:t>
            </w:r>
          </w:p>
          <w:p w14:paraId="5C6C468E">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13、切换按键：内镜按键（1-4）,面板多功能键（1）</w:t>
            </w:r>
          </w:p>
          <w:p w14:paraId="3A507FB2">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14、其他功能：电子放大功能，画中画功能，网络功能</w:t>
            </w:r>
          </w:p>
          <w:p w14:paraId="76AECFA9">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15、光源：3色LED,多光源整合技术。</w:t>
            </w:r>
          </w:p>
          <w:p w14:paraId="124FB56A">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16、LED寿命：≥14000小时</w:t>
            </w:r>
          </w:p>
          <w:p w14:paraId="7C53F755">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17、光源控制：LED自动能量控制</w:t>
            </w:r>
          </w:p>
          <w:p w14:paraId="3A188089">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18、光源冷却方式：强制空气冷却</w:t>
            </w:r>
          </w:p>
          <w:p w14:paraId="064222EB">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19、最大气压：≥65kPa</w:t>
            </w:r>
          </w:p>
          <w:p w14:paraId="25765A56">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20、自动亮度调整：自动亮度调整方式</w:t>
            </w:r>
            <w:r>
              <w:rPr>
                <w:rFonts w:hint="eastAsia" w:ascii="宋体" w:hAnsi="宋体" w:eastAsia="宋体" w:cs="宋体"/>
                <w:sz w:val="24"/>
                <w:szCs w:val="24"/>
              </w:rPr>
              <w:tab/>
            </w:r>
            <w:r>
              <w:rPr>
                <w:rFonts w:hint="eastAsia" w:ascii="宋体" w:hAnsi="宋体" w:eastAsia="宋体" w:cs="宋体"/>
                <w:sz w:val="24"/>
                <w:szCs w:val="24"/>
              </w:rPr>
              <w:t>根据视频信号输出自动调整亮度（也可手动调整）</w:t>
            </w:r>
          </w:p>
          <w:p w14:paraId="2DC32204">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21、兼容内窥镜</w:t>
            </w:r>
            <w:r>
              <w:rPr>
                <w:rFonts w:hint="eastAsia" w:ascii="宋体" w:hAnsi="宋体" w:eastAsia="宋体" w:cs="宋体"/>
                <w:sz w:val="24"/>
                <w:szCs w:val="24"/>
              </w:rPr>
              <w:tab/>
            </w:r>
            <w:r>
              <w:rPr>
                <w:rFonts w:hint="eastAsia" w:ascii="宋体" w:hAnsi="宋体" w:eastAsia="宋体" w:cs="宋体"/>
                <w:sz w:val="24"/>
                <w:szCs w:val="24"/>
              </w:rPr>
              <w:t>可兼容高清电子胃、肠镜,高清治疗电子胃、肠镜,光学放大胃、肠镜,高清经鼻内镜，高清电子十二指肠镜， 双钳道电子胃镜，双气囊小肠镜，环扫/扇扫超声胃镜，超声支气管镜，高清支气管镜，高清鼻咽喉镜</w:t>
            </w:r>
            <w:r>
              <w:rPr>
                <w:rFonts w:hint="eastAsia" w:ascii="宋体" w:hAnsi="宋体" w:eastAsia="宋体" w:cs="宋体"/>
                <w:sz w:val="24"/>
                <w:szCs w:val="24"/>
              </w:rPr>
              <w:tab/>
            </w:r>
          </w:p>
          <w:p w14:paraId="78B54C01">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22、远程控制：可远程控制打印机、录像机，输出触发信号控制外围设备</w:t>
            </w:r>
          </w:p>
          <w:p w14:paraId="41B3D4E5">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23、病人信息：病人ID,病人姓名，性别，年龄，生日，记录，医院名称，医生姓名</w:t>
            </w:r>
          </w:p>
          <w:p w14:paraId="6FDC757C">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24、存储状态：数码打印机状态,拍摄计数,内存可存储图片数量</w:t>
            </w:r>
          </w:p>
          <w:p w14:paraId="3FDDB646">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25、图像质量设定状态：结构强调,色调，电子放大比例,IEE观察模式,放大倍数</w:t>
            </w:r>
          </w:p>
          <w:p w14:paraId="6611878E">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26、图像压缩比率</w:t>
            </w:r>
            <w:r>
              <w:rPr>
                <w:rFonts w:hint="eastAsia" w:ascii="宋体" w:hAnsi="宋体" w:eastAsia="宋体" w:cs="宋体"/>
                <w:sz w:val="24"/>
                <w:szCs w:val="24"/>
              </w:rPr>
              <w:tab/>
            </w:r>
            <w:r>
              <w:rPr>
                <w:rFonts w:hint="eastAsia" w:ascii="宋体" w:hAnsi="宋体" w:eastAsia="宋体" w:cs="宋体"/>
                <w:sz w:val="24"/>
                <w:szCs w:val="24"/>
              </w:rPr>
              <w:t>TIFF：无压缩，JPEG： 1/5，1/10， 1/20</w:t>
            </w:r>
          </w:p>
          <w:p w14:paraId="4791A208">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27、内置存储器：≥4G</w:t>
            </w:r>
          </w:p>
          <w:p w14:paraId="5A192FBF">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28、内存可存储圏像数量</w:t>
            </w:r>
            <w:r>
              <w:rPr>
                <w:rFonts w:hint="eastAsia" w:ascii="宋体" w:hAnsi="宋体" w:eastAsia="宋体" w:cs="宋体"/>
                <w:sz w:val="24"/>
                <w:szCs w:val="24"/>
              </w:rPr>
              <w:tab/>
            </w:r>
            <w:r>
              <w:rPr>
                <w:rFonts w:hint="eastAsia" w:ascii="宋体" w:hAnsi="宋体" w:eastAsia="宋体" w:cs="宋体"/>
                <w:sz w:val="24"/>
                <w:szCs w:val="24"/>
              </w:rPr>
              <w:t>TIFF： 840， JPEG 1/20： 21,690， JPEG 1/10： 16,270， JPEG 1/5： 5,910</w:t>
            </w:r>
          </w:p>
          <w:p w14:paraId="795CE06A">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29、医生姓名：可存储20位医生姓名</w:t>
            </w:r>
          </w:p>
          <w:p w14:paraId="5AEFBF5D">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30、医生个人设定：色调，测光模式，对比度，亮度，IEE观察模式可以根据医生姓名存储</w:t>
            </w:r>
          </w:p>
          <w:p w14:paraId="4ADB88C8">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31、临床过程：存储20条临床过程</w:t>
            </w:r>
          </w:p>
          <w:p w14:paraId="2950C206">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32、送气功能：横隔膜式气泵，有高/中/低/关压力切换</w:t>
            </w:r>
          </w:p>
          <w:p w14:paraId="24DD74D8">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33、送水方式：可为拆卸水瓶加压,实现送水</w:t>
            </w:r>
          </w:p>
          <w:p w14:paraId="15FC40C5">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34、前面板显示：透射照明/光照限制/照明模式。透射照明：光照以最大亮度闪烁从体外可査先端位置；光照限制：限制最大光强，防止患者出血被光照凝结；照明模式：OFF/1/2/3.可通过照明模式按钮切换</w:t>
            </w:r>
          </w:p>
          <w:p w14:paraId="3E59500E">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35、设定值记忆功能：关闭系统电源后设定值认可保存</w:t>
            </w:r>
          </w:p>
          <w:p w14:paraId="5A18B160">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b/>
            </w:r>
          </w:p>
          <w:p w14:paraId="0B039892">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（二）电子气管内窥镜：</w:t>
            </w:r>
          </w:p>
          <w:p w14:paraId="3A18C72E">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观察方向</w:t>
            </w:r>
            <w:r>
              <w:rPr>
                <w:rFonts w:hint="eastAsia" w:ascii="宋体" w:hAnsi="宋体" w:eastAsia="宋体" w:cs="宋体"/>
                <w:sz w:val="24"/>
                <w:szCs w:val="24"/>
              </w:rPr>
              <w:tab/>
            </w:r>
            <w:r>
              <w:rPr>
                <w:rFonts w:hint="eastAsia" w:ascii="宋体" w:hAnsi="宋体" w:eastAsia="宋体" w:cs="宋体"/>
                <w:sz w:val="24"/>
                <w:szCs w:val="24"/>
              </w:rPr>
              <w:t>0°(直视)</w:t>
            </w:r>
          </w:p>
          <w:p w14:paraId="7E859090">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视野角度</w:t>
            </w:r>
            <w:r>
              <w:rPr>
                <w:rFonts w:hint="eastAsia" w:ascii="宋体" w:hAnsi="宋体" w:eastAsia="宋体" w:cs="宋体"/>
                <w:sz w:val="24"/>
                <w:szCs w:val="24"/>
              </w:rPr>
              <w:tab/>
            </w:r>
            <w:r>
              <w:rPr>
                <w:rFonts w:hint="eastAsia" w:ascii="宋体" w:hAnsi="宋体" w:eastAsia="宋体" w:cs="宋体"/>
                <w:sz w:val="24"/>
                <w:szCs w:val="24"/>
              </w:rPr>
              <w:t>≥120°</w:t>
            </w:r>
          </w:p>
          <w:p w14:paraId="088F93DF">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观察景深</w:t>
            </w:r>
            <w:r>
              <w:rPr>
                <w:rFonts w:hint="eastAsia" w:ascii="宋体" w:hAnsi="宋体" w:eastAsia="宋体" w:cs="宋体"/>
                <w:sz w:val="24"/>
                <w:szCs w:val="24"/>
              </w:rPr>
              <w:tab/>
            </w:r>
            <w:r>
              <w:rPr>
                <w:rFonts w:hint="eastAsia" w:ascii="宋体" w:hAnsi="宋体" w:eastAsia="宋体" w:cs="宋体"/>
                <w:sz w:val="24"/>
                <w:szCs w:val="24"/>
              </w:rPr>
              <w:t>2～100mm</w:t>
            </w:r>
          </w:p>
          <w:p w14:paraId="7E4D4DA2">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头端部外径</w:t>
            </w:r>
            <w:r>
              <w:rPr>
                <w:rFonts w:hint="eastAsia" w:ascii="宋体" w:hAnsi="宋体" w:eastAsia="宋体" w:cs="宋体"/>
                <w:sz w:val="24"/>
                <w:szCs w:val="24"/>
              </w:rPr>
              <w:tab/>
            </w:r>
            <w:r>
              <w:rPr>
                <w:rFonts w:hint="eastAsia" w:ascii="宋体" w:hAnsi="宋体" w:eastAsia="宋体" w:cs="宋体"/>
                <w:sz w:val="24"/>
                <w:szCs w:val="24"/>
              </w:rPr>
              <w:t>Ф≤5.3mm</w:t>
            </w:r>
          </w:p>
          <w:p w14:paraId="4E333D94">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插入最大部外径</w:t>
            </w:r>
            <w:r>
              <w:rPr>
                <w:rFonts w:hint="eastAsia" w:ascii="宋体" w:hAnsi="宋体" w:eastAsia="宋体" w:cs="宋体"/>
                <w:sz w:val="24"/>
                <w:szCs w:val="24"/>
              </w:rPr>
              <w:tab/>
            </w:r>
            <w:r>
              <w:rPr>
                <w:rFonts w:hint="eastAsia" w:ascii="宋体" w:hAnsi="宋体" w:eastAsia="宋体" w:cs="宋体"/>
                <w:sz w:val="24"/>
                <w:szCs w:val="24"/>
              </w:rPr>
              <w:t>Ф≤5.1mm</w:t>
            </w:r>
          </w:p>
          <w:p w14:paraId="1D8C1371">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有效长度</w:t>
            </w:r>
            <w:r>
              <w:rPr>
                <w:rFonts w:hint="eastAsia" w:ascii="宋体" w:hAnsi="宋体" w:eastAsia="宋体" w:cs="宋体"/>
                <w:sz w:val="24"/>
                <w:szCs w:val="24"/>
              </w:rPr>
              <w:tab/>
            </w:r>
            <w:r>
              <w:rPr>
                <w:rFonts w:hint="eastAsia" w:ascii="宋体" w:hAnsi="宋体" w:eastAsia="宋体" w:cs="宋体"/>
                <w:sz w:val="24"/>
                <w:szCs w:val="24"/>
              </w:rPr>
              <w:t>≥600mm</w:t>
            </w:r>
          </w:p>
          <w:p w14:paraId="64F391B7">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全长</w:t>
            </w:r>
            <w:r>
              <w:rPr>
                <w:rFonts w:hint="eastAsia" w:ascii="宋体" w:hAnsi="宋体" w:eastAsia="宋体" w:cs="宋体"/>
                <w:sz w:val="24"/>
                <w:szCs w:val="24"/>
              </w:rPr>
              <w:tab/>
            </w:r>
            <w:r>
              <w:rPr>
                <w:rFonts w:hint="eastAsia" w:ascii="宋体" w:hAnsi="宋体" w:eastAsia="宋体" w:cs="宋体"/>
                <w:sz w:val="24"/>
                <w:szCs w:val="24"/>
              </w:rPr>
              <w:t>≥870mm</w:t>
            </w:r>
          </w:p>
          <w:p w14:paraId="2EA38411">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弯曲角度</w:t>
            </w:r>
            <w:r>
              <w:rPr>
                <w:rFonts w:hint="eastAsia" w:ascii="宋体" w:hAnsi="宋体" w:eastAsia="宋体" w:cs="宋体"/>
                <w:sz w:val="24"/>
                <w:szCs w:val="24"/>
              </w:rPr>
              <w:tab/>
            </w:r>
            <w:r>
              <w:rPr>
                <w:rFonts w:hint="eastAsia" w:ascii="宋体" w:hAnsi="宋体" w:eastAsia="宋体" w:cs="宋体"/>
                <w:sz w:val="24"/>
                <w:szCs w:val="24"/>
              </w:rPr>
              <w:t>上：≥210°、下：≥130°；</w:t>
            </w:r>
          </w:p>
          <w:p w14:paraId="62A10663">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钳道直径</w:t>
            </w:r>
            <w:r>
              <w:rPr>
                <w:rFonts w:hint="eastAsia" w:ascii="宋体" w:hAnsi="宋体" w:eastAsia="宋体" w:cs="宋体"/>
                <w:sz w:val="24"/>
                <w:szCs w:val="24"/>
              </w:rPr>
              <w:tab/>
            </w:r>
            <w:r>
              <w:rPr>
                <w:rFonts w:hint="eastAsia" w:ascii="宋体" w:hAnsi="宋体" w:eastAsia="宋体" w:cs="宋体"/>
                <w:sz w:val="24"/>
                <w:szCs w:val="24"/>
              </w:rPr>
              <w:t>Ф≥2.2mm</w:t>
            </w:r>
          </w:p>
          <w:p w14:paraId="7CFF7F07">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ab/>
            </w:r>
            <w:r>
              <w:rPr>
                <w:rFonts w:hint="eastAsia" w:ascii="宋体" w:hAnsi="宋体" w:eastAsia="宋体" w:cs="宋体"/>
                <w:sz w:val="24"/>
                <w:szCs w:val="24"/>
              </w:rPr>
              <w:t>CCD类型</w:t>
            </w:r>
            <w:r>
              <w:rPr>
                <w:rFonts w:hint="eastAsia" w:ascii="宋体" w:hAnsi="宋体" w:eastAsia="宋体" w:cs="宋体"/>
                <w:sz w:val="24"/>
                <w:szCs w:val="24"/>
              </w:rPr>
              <w:tab/>
            </w:r>
            <w:r>
              <w:rPr>
                <w:rFonts w:hint="eastAsia" w:ascii="宋体" w:hAnsi="宋体" w:eastAsia="宋体" w:cs="宋体"/>
                <w:sz w:val="24"/>
                <w:szCs w:val="24"/>
              </w:rPr>
              <w:t>高分辨率超级CCD，无彩虹现象</w:t>
            </w:r>
          </w:p>
          <w:p w14:paraId="29E03B56">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兼容高频治疗设备</w:t>
            </w:r>
            <w:r>
              <w:rPr>
                <w:rFonts w:hint="eastAsia" w:ascii="宋体" w:hAnsi="宋体" w:eastAsia="宋体" w:cs="宋体"/>
                <w:sz w:val="24"/>
                <w:szCs w:val="24"/>
              </w:rPr>
              <w:tab/>
            </w:r>
            <w:r>
              <w:rPr>
                <w:rFonts w:hint="eastAsia" w:ascii="宋体" w:hAnsi="宋体" w:eastAsia="宋体" w:cs="宋体"/>
                <w:sz w:val="24"/>
                <w:szCs w:val="24"/>
              </w:rPr>
              <w:t>可兼容高频电刀治疗设备</w:t>
            </w:r>
          </w:p>
          <w:p w14:paraId="7AE7B650">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ab/>
            </w:r>
            <w:r>
              <w:rPr>
                <w:rFonts w:hint="eastAsia" w:ascii="宋体" w:hAnsi="宋体" w:eastAsia="宋体" w:cs="宋体"/>
                <w:sz w:val="24"/>
                <w:szCs w:val="24"/>
              </w:rPr>
              <w:t>图像增强技术</w:t>
            </w:r>
            <w:r>
              <w:rPr>
                <w:rFonts w:hint="eastAsia" w:ascii="宋体" w:hAnsi="宋体" w:eastAsia="宋体" w:cs="宋体"/>
                <w:sz w:val="24"/>
                <w:szCs w:val="24"/>
              </w:rPr>
              <w:tab/>
            </w:r>
            <w:r>
              <w:rPr>
                <w:rFonts w:hint="eastAsia" w:ascii="宋体" w:hAnsi="宋体" w:eastAsia="宋体" w:cs="宋体"/>
                <w:sz w:val="24"/>
                <w:szCs w:val="24"/>
              </w:rPr>
              <w:t>BLI\LCI\FICE</w:t>
            </w:r>
          </w:p>
          <w:p w14:paraId="32340A94">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（三）电子气管内窥镜：</w:t>
            </w:r>
          </w:p>
          <w:p w14:paraId="72396741">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观察方向</w:t>
            </w:r>
            <w:r>
              <w:rPr>
                <w:rFonts w:hint="eastAsia" w:ascii="宋体" w:hAnsi="宋体" w:eastAsia="宋体" w:cs="宋体"/>
                <w:sz w:val="24"/>
                <w:szCs w:val="24"/>
              </w:rPr>
              <w:tab/>
            </w:r>
            <w:r>
              <w:rPr>
                <w:rFonts w:hint="eastAsia" w:ascii="宋体" w:hAnsi="宋体" w:eastAsia="宋体" w:cs="宋体"/>
                <w:sz w:val="24"/>
                <w:szCs w:val="24"/>
              </w:rPr>
              <w:t>0°(直视)</w:t>
            </w:r>
          </w:p>
          <w:p w14:paraId="70ED98D8">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视野角度</w:t>
            </w:r>
            <w:r>
              <w:rPr>
                <w:rFonts w:hint="eastAsia" w:ascii="宋体" w:hAnsi="宋体" w:eastAsia="宋体" w:cs="宋体"/>
                <w:sz w:val="24"/>
                <w:szCs w:val="24"/>
              </w:rPr>
              <w:tab/>
            </w:r>
            <w:r>
              <w:rPr>
                <w:rFonts w:hint="eastAsia" w:ascii="宋体" w:hAnsi="宋体" w:eastAsia="宋体" w:cs="宋体"/>
                <w:sz w:val="24"/>
                <w:szCs w:val="24"/>
              </w:rPr>
              <w:t>≥120°</w:t>
            </w:r>
          </w:p>
          <w:p w14:paraId="1FD13320">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观察景深</w:t>
            </w:r>
            <w:r>
              <w:rPr>
                <w:rFonts w:hint="eastAsia" w:ascii="宋体" w:hAnsi="宋体" w:eastAsia="宋体" w:cs="宋体"/>
                <w:sz w:val="24"/>
                <w:szCs w:val="24"/>
              </w:rPr>
              <w:tab/>
            </w:r>
            <w:r>
              <w:rPr>
                <w:rFonts w:hint="eastAsia" w:ascii="宋体" w:hAnsi="宋体" w:eastAsia="宋体" w:cs="宋体"/>
                <w:sz w:val="24"/>
                <w:szCs w:val="24"/>
              </w:rPr>
              <w:t>2～100mm</w:t>
            </w:r>
          </w:p>
          <w:p w14:paraId="2CC66BDF">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头端部外径</w:t>
            </w:r>
            <w:r>
              <w:rPr>
                <w:rFonts w:hint="eastAsia" w:ascii="宋体" w:hAnsi="宋体" w:eastAsia="宋体" w:cs="宋体"/>
                <w:sz w:val="24"/>
                <w:szCs w:val="24"/>
              </w:rPr>
              <w:tab/>
            </w:r>
            <w:r>
              <w:rPr>
                <w:rFonts w:hint="eastAsia" w:ascii="宋体" w:hAnsi="宋体" w:eastAsia="宋体" w:cs="宋体"/>
                <w:sz w:val="24"/>
                <w:szCs w:val="24"/>
              </w:rPr>
              <w:t>Ф≤5.9mm</w:t>
            </w:r>
          </w:p>
          <w:p w14:paraId="6E1DB2A9">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插入最大部外径</w:t>
            </w:r>
            <w:r>
              <w:rPr>
                <w:rFonts w:hint="eastAsia" w:ascii="宋体" w:hAnsi="宋体" w:eastAsia="宋体" w:cs="宋体"/>
                <w:sz w:val="24"/>
                <w:szCs w:val="24"/>
              </w:rPr>
              <w:tab/>
            </w:r>
            <w:r>
              <w:rPr>
                <w:rFonts w:hint="eastAsia" w:ascii="宋体" w:hAnsi="宋体" w:eastAsia="宋体" w:cs="宋体"/>
                <w:sz w:val="24"/>
                <w:szCs w:val="24"/>
              </w:rPr>
              <w:t>Ф≤5.9mm</w:t>
            </w:r>
          </w:p>
          <w:p w14:paraId="5F5F41AA">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有效长度</w:t>
            </w:r>
            <w:r>
              <w:rPr>
                <w:rFonts w:hint="eastAsia" w:ascii="宋体" w:hAnsi="宋体" w:eastAsia="宋体" w:cs="宋体"/>
                <w:sz w:val="24"/>
                <w:szCs w:val="24"/>
              </w:rPr>
              <w:tab/>
            </w:r>
            <w:r>
              <w:rPr>
                <w:rFonts w:hint="eastAsia" w:ascii="宋体" w:hAnsi="宋体" w:eastAsia="宋体" w:cs="宋体"/>
                <w:sz w:val="24"/>
                <w:szCs w:val="24"/>
              </w:rPr>
              <w:t>≥600mm</w:t>
            </w:r>
          </w:p>
          <w:p w14:paraId="2E58D597">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全长</w:t>
            </w:r>
            <w:r>
              <w:rPr>
                <w:rFonts w:hint="eastAsia" w:ascii="宋体" w:hAnsi="宋体" w:eastAsia="宋体" w:cs="宋体"/>
                <w:sz w:val="24"/>
                <w:szCs w:val="24"/>
              </w:rPr>
              <w:tab/>
            </w:r>
            <w:r>
              <w:rPr>
                <w:rFonts w:hint="eastAsia" w:ascii="宋体" w:hAnsi="宋体" w:eastAsia="宋体" w:cs="宋体"/>
                <w:sz w:val="24"/>
                <w:szCs w:val="24"/>
              </w:rPr>
              <w:t>≥870mm</w:t>
            </w:r>
          </w:p>
          <w:p w14:paraId="7CD7ADE6">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弯曲角度</w:t>
            </w:r>
            <w:r>
              <w:rPr>
                <w:rFonts w:hint="eastAsia" w:ascii="宋体" w:hAnsi="宋体" w:eastAsia="宋体" w:cs="宋体"/>
                <w:sz w:val="24"/>
                <w:szCs w:val="24"/>
              </w:rPr>
              <w:tab/>
            </w:r>
            <w:r>
              <w:rPr>
                <w:rFonts w:hint="eastAsia" w:ascii="宋体" w:hAnsi="宋体" w:eastAsia="宋体" w:cs="宋体"/>
                <w:sz w:val="24"/>
                <w:szCs w:val="24"/>
              </w:rPr>
              <w:t>上：≥180°、下：≥130°；</w:t>
            </w:r>
          </w:p>
          <w:p w14:paraId="79DF373F">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钳道直径</w:t>
            </w:r>
            <w:r>
              <w:rPr>
                <w:rFonts w:hint="eastAsia" w:ascii="宋体" w:hAnsi="宋体" w:eastAsia="宋体" w:cs="宋体"/>
                <w:sz w:val="24"/>
                <w:szCs w:val="24"/>
              </w:rPr>
              <w:tab/>
            </w:r>
            <w:r>
              <w:rPr>
                <w:rFonts w:hint="eastAsia" w:ascii="宋体" w:hAnsi="宋体" w:eastAsia="宋体" w:cs="宋体"/>
                <w:sz w:val="24"/>
                <w:szCs w:val="24"/>
              </w:rPr>
              <w:t>Ф≥2.8mm</w:t>
            </w:r>
          </w:p>
          <w:p w14:paraId="25218A5B">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ab/>
            </w:r>
            <w:r>
              <w:rPr>
                <w:rFonts w:hint="eastAsia" w:ascii="宋体" w:hAnsi="宋体" w:eastAsia="宋体" w:cs="宋体"/>
                <w:sz w:val="24"/>
                <w:szCs w:val="24"/>
              </w:rPr>
              <w:t>CCD类型</w:t>
            </w:r>
            <w:r>
              <w:rPr>
                <w:rFonts w:hint="eastAsia" w:ascii="宋体" w:hAnsi="宋体" w:eastAsia="宋体" w:cs="宋体"/>
                <w:sz w:val="24"/>
                <w:szCs w:val="24"/>
              </w:rPr>
              <w:tab/>
            </w:r>
            <w:r>
              <w:rPr>
                <w:rFonts w:hint="eastAsia" w:ascii="宋体" w:hAnsi="宋体" w:eastAsia="宋体" w:cs="宋体"/>
                <w:sz w:val="24"/>
                <w:szCs w:val="24"/>
              </w:rPr>
              <w:t>高分辨率超级CCD，无彩虹现象</w:t>
            </w:r>
          </w:p>
          <w:p w14:paraId="32E4DEE0">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兼容高频治疗设备</w:t>
            </w:r>
            <w:r>
              <w:rPr>
                <w:rFonts w:hint="eastAsia" w:ascii="宋体" w:hAnsi="宋体" w:eastAsia="宋体" w:cs="宋体"/>
                <w:sz w:val="24"/>
                <w:szCs w:val="24"/>
              </w:rPr>
              <w:tab/>
            </w:r>
            <w:r>
              <w:rPr>
                <w:rFonts w:hint="eastAsia" w:ascii="宋体" w:hAnsi="宋体" w:eastAsia="宋体" w:cs="宋体"/>
                <w:sz w:val="24"/>
                <w:szCs w:val="24"/>
              </w:rPr>
              <w:t>可兼容高频电刀治疗设备</w:t>
            </w:r>
          </w:p>
          <w:p w14:paraId="4DA6637E">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ab/>
            </w:r>
            <w:r>
              <w:rPr>
                <w:rFonts w:hint="eastAsia" w:ascii="宋体" w:hAnsi="宋体" w:eastAsia="宋体" w:cs="宋体"/>
                <w:sz w:val="24"/>
                <w:szCs w:val="24"/>
              </w:rPr>
              <w:t>图像增强技术</w:t>
            </w:r>
            <w:r>
              <w:rPr>
                <w:rFonts w:hint="eastAsia" w:ascii="宋体" w:hAnsi="宋体" w:eastAsia="宋体" w:cs="宋体"/>
                <w:sz w:val="24"/>
                <w:szCs w:val="24"/>
              </w:rPr>
              <w:tab/>
            </w:r>
            <w:r>
              <w:rPr>
                <w:rFonts w:hint="eastAsia" w:ascii="宋体" w:hAnsi="宋体" w:eastAsia="宋体" w:cs="宋体"/>
                <w:sz w:val="24"/>
                <w:szCs w:val="24"/>
              </w:rPr>
              <w:t>FICE</w:t>
            </w:r>
          </w:p>
          <w:p w14:paraId="2C228D70">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（四）电子气管内窥镜：</w:t>
            </w:r>
          </w:p>
          <w:p w14:paraId="45742602">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观察方向</w:t>
            </w:r>
            <w:r>
              <w:rPr>
                <w:rFonts w:hint="eastAsia" w:ascii="宋体" w:hAnsi="宋体" w:eastAsia="宋体" w:cs="宋体"/>
                <w:sz w:val="24"/>
                <w:szCs w:val="24"/>
              </w:rPr>
              <w:tab/>
            </w:r>
            <w:r>
              <w:rPr>
                <w:rFonts w:hint="eastAsia" w:ascii="宋体" w:hAnsi="宋体" w:eastAsia="宋体" w:cs="宋体"/>
                <w:sz w:val="24"/>
                <w:szCs w:val="24"/>
              </w:rPr>
              <w:t>0°(直视)</w:t>
            </w:r>
          </w:p>
          <w:p w14:paraId="30FEE91C">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视野角度</w:t>
            </w:r>
            <w:r>
              <w:rPr>
                <w:rFonts w:hint="eastAsia" w:ascii="宋体" w:hAnsi="宋体" w:eastAsia="宋体" w:cs="宋体"/>
                <w:sz w:val="24"/>
                <w:szCs w:val="24"/>
              </w:rPr>
              <w:tab/>
            </w:r>
            <w:r>
              <w:rPr>
                <w:rFonts w:hint="eastAsia" w:ascii="宋体" w:hAnsi="宋体" w:eastAsia="宋体" w:cs="宋体"/>
                <w:sz w:val="24"/>
                <w:szCs w:val="24"/>
              </w:rPr>
              <w:t>≥120°</w:t>
            </w:r>
          </w:p>
          <w:p w14:paraId="7F5F95C3">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观察景深</w:t>
            </w:r>
            <w:r>
              <w:rPr>
                <w:rFonts w:hint="eastAsia" w:ascii="宋体" w:hAnsi="宋体" w:eastAsia="宋体" w:cs="宋体"/>
                <w:sz w:val="24"/>
                <w:szCs w:val="24"/>
              </w:rPr>
              <w:tab/>
            </w:r>
            <w:r>
              <w:rPr>
                <w:rFonts w:hint="eastAsia" w:ascii="宋体" w:hAnsi="宋体" w:eastAsia="宋体" w:cs="宋体"/>
                <w:sz w:val="24"/>
                <w:szCs w:val="24"/>
              </w:rPr>
              <w:t>2～100mm</w:t>
            </w:r>
          </w:p>
          <w:p w14:paraId="2BF1A1CD">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头端部外径</w:t>
            </w:r>
            <w:r>
              <w:rPr>
                <w:rFonts w:hint="eastAsia" w:ascii="宋体" w:hAnsi="宋体" w:eastAsia="宋体" w:cs="宋体"/>
                <w:sz w:val="24"/>
                <w:szCs w:val="24"/>
              </w:rPr>
              <w:tab/>
            </w:r>
            <w:r>
              <w:rPr>
                <w:rFonts w:hint="eastAsia" w:ascii="宋体" w:hAnsi="宋体" w:eastAsia="宋体" w:cs="宋体"/>
                <w:sz w:val="24"/>
                <w:szCs w:val="24"/>
              </w:rPr>
              <w:t>Ф≤</w:t>
            </w:r>
            <w:r>
              <w:rPr>
                <w:rFonts w:hint="eastAsia" w:ascii="宋体" w:hAnsi="宋体" w:eastAsia="宋体" w:cs="宋体"/>
                <w:sz w:val="24"/>
                <w:szCs w:val="24"/>
                <w:lang w:val="en-US" w:eastAsia="zh-CN"/>
              </w:rPr>
              <w:t>4.1</w:t>
            </w:r>
            <w:r>
              <w:rPr>
                <w:rFonts w:hint="eastAsia" w:ascii="宋体" w:hAnsi="宋体" w:eastAsia="宋体" w:cs="宋体"/>
                <w:sz w:val="24"/>
                <w:szCs w:val="24"/>
              </w:rPr>
              <w:t>mm</w:t>
            </w:r>
          </w:p>
          <w:p w14:paraId="7C2BE2EF">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插入最大部外径</w:t>
            </w:r>
            <w:r>
              <w:rPr>
                <w:rFonts w:hint="eastAsia" w:ascii="宋体" w:hAnsi="宋体" w:eastAsia="宋体" w:cs="宋体"/>
                <w:sz w:val="24"/>
                <w:szCs w:val="24"/>
              </w:rPr>
              <w:tab/>
            </w:r>
            <w:r>
              <w:rPr>
                <w:rFonts w:hint="eastAsia" w:ascii="宋体" w:hAnsi="宋体" w:eastAsia="宋体" w:cs="宋体"/>
                <w:sz w:val="24"/>
                <w:szCs w:val="24"/>
              </w:rPr>
              <w:t>Ф≤</w:t>
            </w:r>
            <w:r>
              <w:rPr>
                <w:rFonts w:hint="eastAsia" w:ascii="宋体" w:hAnsi="宋体" w:eastAsia="宋体" w:cs="宋体"/>
                <w:sz w:val="24"/>
                <w:szCs w:val="24"/>
                <w:lang w:val="en-US" w:eastAsia="zh-CN"/>
              </w:rPr>
              <w:t>4.1</w:t>
            </w:r>
            <w:r>
              <w:rPr>
                <w:rFonts w:hint="eastAsia" w:ascii="宋体" w:hAnsi="宋体" w:eastAsia="宋体" w:cs="宋体"/>
                <w:sz w:val="24"/>
                <w:szCs w:val="24"/>
              </w:rPr>
              <w:t>mm</w:t>
            </w:r>
          </w:p>
          <w:p w14:paraId="33C92B5D">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有效长度</w:t>
            </w:r>
            <w:r>
              <w:rPr>
                <w:rFonts w:hint="eastAsia" w:ascii="宋体" w:hAnsi="宋体" w:eastAsia="宋体" w:cs="宋体"/>
                <w:sz w:val="24"/>
                <w:szCs w:val="24"/>
              </w:rPr>
              <w:tab/>
            </w:r>
            <w:r>
              <w:rPr>
                <w:rFonts w:hint="eastAsia" w:ascii="宋体" w:hAnsi="宋体" w:eastAsia="宋体" w:cs="宋体"/>
                <w:sz w:val="24"/>
                <w:szCs w:val="24"/>
              </w:rPr>
              <w:t>≥600mm</w:t>
            </w:r>
          </w:p>
          <w:p w14:paraId="24EAAF45">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全长</w:t>
            </w:r>
            <w:r>
              <w:rPr>
                <w:rFonts w:hint="eastAsia" w:ascii="宋体" w:hAnsi="宋体" w:eastAsia="宋体" w:cs="宋体"/>
                <w:sz w:val="24"/>
                <w:szCs w:val="24"/>
              </w:rPr>
              <w:tab/>
            </w:r>
            <w:r>
              <w:rPr>
                <w:rFonts w:hint="eastAsia" w:ascii="宋体" w:hAnsi="宋体" w:eastAsia="宋体" w:cs="宋体"/>
                <w:sz w:val="24"/>
                <w:szCs w:val="24"/>
              </w:rPr>
              <w:t>≥8</w:t>
            </w:r>
            <w:r>
              <w:rPr>
                <w:rFonts w:hint="eastAsia" w:ascii="宋体" w:hAnsi="宋体" w:eastAsia="宋体" w:cs="宋体"/>
                <w:sz w:val="24"/>
                <w:szCs w:val="24"/>
                <w:lang w:val="en-US" w:eastAsia="zh-CN"/>
              </w:rPr>
              <w:t>8</w:t>
            </w:r>
            <w:r>
              <w:rPr>
                <w:rFonts w:hint="eastAsia" w:ascii="宋体" w:hAnsi="宋体" w:eastAsia="宋体" w:cs="宋体"/>
                <w:sz w:val="24"/>
                <w:szCs w:val="24"/>
              </w:rPr>
              <w:t>0mm</w:t>
            </w:r>
          </w:p>
          <w:p w14:paraId="155CAE2E">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弯曲角度</w:t>
            </w:r>
            <w:r>
              <w:rPr>
                <w:rFonts w:hint="eastAsia" w:ascii="宋体" w:hAnsi="宋体" w:eastAsia="宋体" w:cs="宋体"/>
                <w:sz w:val="24"/>
                <w:szCs w:val="24"/>
              </w:rPr>
              <w:tab/>
            </w:r>
            <w:r>
              <w:rPr>
                <w:rFonts w:hint="eastAsia" w:ascii="宋体" w:hAnsi="宋体" w:eastAsia="宋体" w:cs="宋体"/>
                <w:sz w:val="24"/>
                <w:szCs w:val="24"/>
              </w:rPr>
              <w:t>上：≥</w:t>
            </w:r>
            <w:r>
              <w:rPr>
                <w:rFonts w:hint="eastAsia" w:ascii="宋体" w:hAnsi="宋体" w:eastAsia="宋体" w:cs="宋体"/>
                <w:sz w:val="24"/>
                <w:szCs w:val="24"/>
                <w:lang w:val="en-US" w:eastAsia="zh-CN"/>
              </w:rPr>
              <w:t>21</w:t>
            </w:r>
            <w:r>
              <w:rPr>
                <w:rFonts w:hint="eastAsia" w:ascii="宋体" w:hAnsi="宋体" w:eastAsia="宋体" w:cs="宋体"/>
                <w:sz w:val="24"/>
                <w:szCs w:val="24"/>
              </w:rPr>
              <w:t>0°、下：≥130°；</w:t>
            </w:r>
          </w:p>
          <w:p w14:paraId="05B70E6F">
            <w:pPr>
              <w:numPr>
                <w:ilvl w:val="0"/>
                <w:numId w:val="0"/>
              </w:num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钳道直径</w:t>
            </w:r>
            <w:r>
              <w:rPr>
                <w:rFonts w:hint="eastAsia" w:ascii="宋体" w:hAnsi="宋体" w:eastAsia="宋体" w:cs="宋体"/>
                <w:sz w:val="24"/>
                <w:szCs w:val="24"/>
              </w:rPr>
              <w:tab/>
            </w:r>
            <w:r>
              <w:rPr>
                <w:rFonts w:hint="eastAsia" w:ascii="宋体" w:hAnsi="宋体" w:eastAsia="宋体" w:cs="宋体"/>
                <w:sz w:val="24"/>
                <w:szCs w:val="24"/>
              </w:rPr>
              <w:t>Ф≥2.</w:t>
            </w:r>
            <w:r>
              <w:rPr>
                <w:rFonts w:hint="eastAsia" w:ascii="宋体" w:hAnsi="宋体" w:eastAsia="宋体" w:cs="宋体"/>
                <w:sz w:val="24"/>
                <w:szCs w:val="24"/>
                <w:lang w:val="en-US" w:eastAsia="zh-CN"/>
              </w:rPr>
              <w:t>0</w:t>
            </w:r>
            <w:r>
              <w:rPr>
                <w:rFonts w:hint="eastAsia" w:ascii="宋体" w:hAnsi="宋体" w:eastAsia="宋体" w:cs="宋体"/>
                <w:sz w:val="24"/>
                <w:szCs w:val="24"/>
              </w:rPr>
              <w:t>mm</w:t>
            </w:r>
          </w:p>
          <w:p w14:paraId="32CFA76C">
            <w:pPr>
              <w:numPr>
                <w:ilvl w:val="0"/>
                <w:numId w:val="0"/>
              </w:numPr>
              <w:spacing w:line="4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（五）</w:t>
            </w:r>
            <w:r>
              <w:rPr>
                <w:rFonts w:hint="eastAsia" w:ascii="宋体" w:hAnsi="宋体" w:eastAsia="宋体" w:cs="宋体"/>
                <w:sz w:val="24"/>
                <w:szCs w:val="24"/>
                <w:lang w:val="en-US" w:eastAsia="zh-CN"/>
              </w:rPr>
              <w:t>配置方案</w:t>
            </w:r>
          </w:p>
          <w:p w14:paraId="10C6292C">
            <w:pPr>
              <w:numPr>
                <w:ilvl w:val="0"/>
                <w:numId w:val="0"/>
              </w:numPr>
              <w:spacing w:line="4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全数字化内窥镜图像处理器</w:t>
            </w:r>
            <w:r>
              <w:rPr>
                <w:rFonts w:hint="eastAsia" w:ascii="宋体" w:hAnsi="宋体" w:eastAsia="宋体" w:cs="宋体"/>
                <w:sz w:val="24"/>
                <w:szCs w:val="24"/>
                <w:lang w:val="en-US" w:eastAsia="zh-CN"/>
              </w:rPr>
              <w:t xml:space="preserve">   1台</w:t>
            </w:r>
          </w:p>
          <w:p w14:paraId="3E845BF7">
            <w:pPr>
              <w:numPr>
                <w:ilvl w:val="0"/>
                <w:numId w:val="0"/>
              </w:numPr>
              <w:spacing w:line="4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2、电子气管内窥镜             3条</w:t>
            </w:r>
          </w:p>
          <w:p w14:paraId="17BFB081">
            <w:pPr>
              <w:numPr>
                <w:ilvl w:val="0"/>
                <w:numId w:val="0"/>
              </w:numPr>
              <w:spacing w:line="4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寸高清监视器</w:t>
            </w:r>
            <w:r>
              <w:rPr>
                <w:rFonts w:hint="eastAsia" w:ascii="宋体" w:hAnsi="宋体" w:eastAsia="宋体" w:cs="宋体"/>
                <w:sz w:val="24"/>
                <w:szCs w:val="24"/>
                <w:lang w:val="en-US" w:eastAsia="zh-CN"/>
              </w:rPr>
              <w:t xml:space="preserve">            1台</w:t>
            </w:r>
          </w:p>
          <w:p w14:paraId="3D814D27">
            <w:pPr>
              <w:numPr>
                <w:ilvl w:val="0"/>
                <w:numId w:val="0"/>
              </w:numPr>
              <w:spacing w:line="4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测漏器</w:t>
            </w:r>
            <w:r>
              <w:rPr>
                <w:rFonts w:hint="eastAsia" w:ascii="宋体" w:hAnsi="宋体" w:eastAsia="宋体" w:cs="宋体"/>
                <w:sz w:val="24"/>
                <w:szCs w:val="24"/>
                <w:lang w:val="en-US" w:eastAsia="zh-CN"/>
              </w:rPr>
              <w:t xml:space="preserve">                     1个</w:t>
            </w:r>
          </w:p>
          <w:p w14:paraId="3F88354A">
            <w:pPr>
              <w:numPr>
                <w:ilvl w:val="0"/>
                <w:numId w:val="0"/>
              </w:numPr>
              <w:spacing w:line="4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内窥镜专用台车</w:t>
            </w:r>
            <w:r>
              <w:rPr>
                <w:rFonts w:hint="eastAsia" w:ascii="宋体" w:hAnsi="宋体" w:eastAsia="宋体" w:cs="宋体"/>
                <w:sz w:val="24"/>
                <w:szCs w:val="24"/>
                <w:lang w:val="en-US" w:eastAsia="zh-CN"/>
              </w:rPr>
              <w:t xml:space="preserve">             1台</w:t>
            </w:r>
          </w:p>
          <w:p w14:paraId="29FD31DC">
            <w:pPr>
              <w:numPr>
                <w:ilvl w:val="0"/>
                <w:numId w:val="0"/>
              </w:numPr>
              <w:spacing w:line="24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6、</w:t>
            </w:r>
            <w:r>
              <w:rPr>
                <w:rFonts w:hint="eastAsia" w:ascii="宋体" w:hAnsi="宋体" w:eastAsia="宋体" w:cs="宋体"/>
                <w:sz w:val="24"/>
                <w:szCs w:val="24"/>
              </w:rPr>
              <w:t>内窥镜专用</w:t>
            </w:r>
            <w:r>
              <w:rPr>
                <w:rFonts w:hint="eastAsia" w:ascii="宋体" w:hAnsi="宋体" w:eastAsia="宋体" w:cs="宋体"/>
                <w:sz w:val="24"/>
                <w:szCs w:val="24"/>
                <w:lang w:val="en-US" w:eastAsia="zh-CN"/>
              </w:rPr>
              <w:t>高清工作站       1台</w:t>
            </w:r>
          </w:p>
          <w:p w14:paraId="1A0984BC">
            <w:pPr>
              <w:numPr>
                <w:ilvl w:val="0"/>
                <w:numId w:val="0"/>
              </w:numPr>
              <w:spacing w:line="240" w:lineRule="auto"/>
              <w:ind w:firstLine="240" w:firstLineChars="100"/>
              <w:rPr>
                <w:rFonts w:hint="eastAsia" w:ascii="宋体" w:hAnsi="宋体" w:eastAsia="宋体" w:cs="宋体"/>
                <w:sz w:val="24"/>
                <w:szCs w:val="24"/>
                <w:lang w:val="en-US" w:eastAsia="zh-CN"/>
              </w:rPr>
            </w:pPr>
          </w:p>
          <w:p w14:paraId="71185406">
            <w:pPr>
              <w:spacing w:line="3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、进口产品与国产产品的性能参数比较</w:t>
            </w:r>
          </w:p>
          <w:p w14:paraId="4679328E">
            <w:pPr>
              <w:widowControl/>
              <w:adjustRightInd w:val="0"/>
              <w:snapToGrid w:val="0"/>
              <w:spacing w:line="34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1、进口产品采用先进的NEW super CCD数字化摄像头，无画面衰减，方便检查，诊疗。目前国产产品图像质量欠佳，达不到准确诊疗的要求。</w:t>
            </w:r>
          </w:p>
          <w:p w14:paraId="400390C0">
            <w:pPr>
              <w:widowControl/>
              <w:adjustRightInd w:val="0"/>
              <w:snapToGrid w:val="0"/>
              <w:spacing w:line="34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进口产品具有联动成像技术（LCI）及蓝光技术(BLI)等同类技术，特别是LCI技术特别受同行认可，该技术颜色与白光接近，但能够充分强调病灶部位的颜色，相比白光提高病变检出率，将白光下不易发现的微小病变清晰地呈现出来，大大提高早癌的诊出率，以及对治疗有很好的帮助。目前国产产品还没有同类染色该功能。  </w:t>
            </w:r>
          </w:p>
          <w:p w14:paraId="7A8D9B91">
            <w:pPr>
              <w:widowControl/>
              <w:adjustRightInd w:val="0"/>
              <w:snapToGrid w:val="0"/>
              <w:spacing w:line="34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3、进口产品具有非常良好的可操作性能，人体工程学设计，手柄采用链条式拉伸不会产生松动导致角度不足。国产采用钢丝拉伸，容易造成弯曲角度不足。 </w:t>
            </w:r>
          </w:p>
          <w:p w14:paraId="4BF6F5E5">
            <w:pPr>
              <w:widowControl/>
              <w:adjustRightInd w:val="0"/>
              <w:snapToGrid w:val="0"/>
              <w:spacing w:line="34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4、进口产品沉淀时间已久，质量稳定，维修率低。国产产品技术尚未成熟，质量不稳定，维修率高，售后成本高。</w:t>
            </w:r>
          </w:p>
          <w:p w14:paraId="77C851C3">
            <w:pPr>
              <w:widowControl/>
              <w:adjustRightInd w:val="0"/>
              <w:snapToGrid w:val="0"/>
              <w:spacing w:line="340" w:lineRule="exact"/>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综述，国产电子支气管镜系统的参数性能与进口电子支气管镜系统相比有一定的差距，不能满足我院医疗要求，而进口电子支气管镜系统能满足我院医疗要求，且具有不可替代性。</w:t>
            </w:r>
          </w:p>
          <w:p w14:paraId="65B10547">
            <w:pPr>
              <w:spacing w:line="340" w:lineRule="exact"/>
              <w:ind w:firstLine="360" w:firstLineChars="150"/>
              <w:rPr>
                <w:rFonts w:hint="eastAsia" w:ascii="宋体" w:hAnsi="宋体" w:eastAsia="宋体" w:cs="宋体"/>
                <w:sz w:val="24"/>
                <w:szCs w:val="24"/>
                <w:lang w:val="en-US" w:eastAsia="zh-CN"/>
              </w:rPr>
            </w:pPr>
          </w:p>
          <w:p w14:paraId="363C8A4F">
            <w:pPr>
              <w:spacing w:line="3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、进口产品与国产产品的价格比较</w:t>
            </w:r>
          </w:p>
          <w:p w14:paraId="7EAFB30C">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此次申请采购的进口设备预算为</w:t>
            </w:r>
            <w:r>
              <w:rPr>
                <w:rFonts w:hint="eastAsia" w:ascii="宋体" w:hAnsi="宋体" w:eastAsia="宋体" w:cs="宋体"/>
                <w:sz w:val="24"/>
                <w:szCs w:val="24"/>
                <w:lang w:val="en-US" w:eastAsia="zh-CN"/>
              </w:rPr>
              <w:t>300</w:t>
            </w:r>
            <w:r>
              <w:rPr>
                <w:rFonts w:hint="eastAsia" w:ascii="宋体" w:hAnsi="宋体" w:eastAsia="宋体" w:cs="宋体"/>
                <w:sz w:val="24"/>
                <w:szCs w:val="24"/>
              </w:rPr>
              <w:t>万元，同类国产品牌采购价约为</w:t>
            </w:r>
            <w:r>
              <w:rPr>
                <w:rFonts w:hint="eastAsia" w:ascii="宋体" w:hAnsi="宋体" w:eastAsia="宋体" w:cs="宋体"/>
                <w:sz w:val="24"/>
                <w:szCs w:val="24"/>
                <w:lang w:val="en-US" w:eastAsia="zh-CN"/>
              </w:rPr>
              <w:t>280</w:t>
            </w:r>
            <w:r>
              <w:rPr>
                <w:rFonts w:hint="eastAsia" w:ascii="宋体" w:hAnsi="宋体" w:eastAsia="宋体" w:cs="宋体"/>
                <w:sz w:val="24"/>
                <w:szCs w:val="24"/>
              </w:rPr>
              <w:t>万元左右。</w:t>
            </w:r>
          </w:p>
          <w:p w14:paraId="5103D1D9">
            <w:pPr>
              <w:autoSpaceDE w:val="0"/>
              <w:autoSpaceDN w:val="0"/>
              <w:adjustRightInd w:val="0"/>
              <w:spacing w:line="340" w:lineRule="exact"/>
              <w:ind w:firstLine="360" w:firstLineChars="150"/>
              <w:rPr>
                <w:rFonts w:hint="eastAsia" w:ascii="宋体" w:hAnsi="宋体" w:eastAsia="宋体" w:cs="宋体"/>
                <w:sz w:val="24"/>
                <w:szCs w:val="24"/>
              </w:rPr>
            </w:pPr>
          </w:p>
          <w:p w14:paraId="0830037A">
            <w:pPr>
              <w:spacing w:line="3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、进口产品的售后服务</w:t>
            </w:r>
          </w:p>
          <w:p w14:paraId="3CFC43FC">
            <w:pPr>
              <w:widowControl/>
              <w:adjustRightInd w:val="0"/>
              <w:snapToGri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进口产品在国内设有售后服务机构，</w:t>
            </w:r>
            <w:r>
              <w:rPr>
                <w:rFonts w:hint="eastAsia" w:ascii="宋体" w:hAnsi="宋体" w:eastAsia="宋体" w:cs="宋体"/>
                <w:sz w:val="24"/>
                <w:szCs w:val="24"/>
                <w:lang w:val="en-US" w:eastAsia="zh-CN"/>
              </w:rPr>
              <w:t>在广西也设有售后服务机构，</w:t>
            </w:r>
            <w:r>
              <w:rPr>
                <w:rFonts w:hint="eastAsia" w:ascii="宋体" w:hAnsi="宋体" w:eastAsia="宋体" w:cs="宋体"/>
                <w:sz w:val="24"/>
                <w:szCs w:val="24"/>
              </w:rPr>
              <w:t>响应时间短，能兼顾临床使用以及维修，能保证产品的售后服务。</w:t>
            </w:r>
          </w:p>
          <w:p w14:paraId="518DCFC6">
            <w:pPr>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1、有专业人员对仪器进行安装、调试、培训（包括理论和仪器实际使用）；</w:t>
            </w:r>
          </w:p>
          <w:p w14:paraId="6979377C">
            <w:pPr>
              <w:spacing w:line="340" w:lineRule="exact"/>
              <w:ind w:firstLine="360" w:firstLineChars="15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售后工程师定时巡回检查及维修</w:t>
            </w:r>
            <w:r>
              <w:rPr>
                <w:rFonts w:hint="eastAsia" w:ascii="宋体" w:hAnsi="宋体" w:eastAsia="宋体" w:cs="宋体"/>
                <w:sz w:val="24"/>
                <w:szCs w:val="24"/>
              </w:rPr>
              <w:t>，</w:t>
            </w:r>
            <w:r>
              <w:rPr>
                <w:rFonts w:hint="eastAsia" w:ascii="宋体" w:hAnsi="宋体" w:eastAsia="宋体" w:cs="宋体"/>
                <w:sz w:val="24"/>
                <w:szCs w:val="24"/>
                <w:lang w:val="en-US" w:eastAsia="zh-CN"/>
              </w:rPr>
              <w:t>对设备进行专业</w:t>
            </w:r>
            <w:r>
              <w:rPr>
                <w:rFonts w:hint="eastAsia" w:ascii="宋体" w:hAnsi="宋体" w:eastAsia="宋体" w:cs="宋体"/>
                <w:sz w:val="24"/>
                <w:szCs w:val="24"/>
              </w:rPr>
              <w:t>现场指导和预防性保养</w:t>
            </w:r>
            <w:r>
              <w:rPr>
                <w:rFonts w:hint="eastAsia" w:ascii="宋体" w:hAnsi="宋体" w:eastAsia="宋体" w:cs="宋体"/>
                <w:sz w:val="24"/>
                <w:szCs w:val="24"/>
                <w:lang w:eastAsia="zh-CN"/>
              </w:rPr>
              <w:t>；</w:t>
            </w:r>
          </w:p>
          <w:p w14:paraId="01614B0A">
            <w:pPr>
              <w:spacing w:line="340" w:lineRule="exact"/>
              <w:ind w:firstLine="360" w:firstLineChars="150"/>
              <w:rPr>
                <w:rFonts w:hint="eastAsia" w:ascii="宋体" w:hAnsi="宋体" w:eastAsia="宋体" w:cs="宋体"/>
                <w:sz w:val="24"/>
                <w:szCs w:val="24"/>
                <w:lang w:eastAsia="zh-CN"/>
              </w:rPr>
            </w:pPr>
            <w:r>
              <w:rPr>
                <w:rFonts w:hint="eastAsia" w:ascii="宋体" w:hAnsi="宋体" w:eastAsia="宋体" w:cs="宋体"/>
                <w:sz w:val="24"/>
                <w:szCs w:val="24"/>
              </w:rPr>
              <w:t>3、进口产品的厂家和公司会提供不定期的专家讲座和境内外临床专家的学术交流，提供</w:t>
            </w:r>
            <w:r>
              <w:rPr>
                <w:rFonts w:hint="eastAsia" w:ascii="宋体" w:hAnsi="宋体" w:eastAsia="宋体" w:cs="宋体"/>
                <w:sz w:val="24"/>
                <w:szCs w:val="24"/>
                <w:lang w:val="en-US" w:eastAsia="zh-CN"/>
              </w:rPr>
              <w:t>呼吸内科</w:t>
            </w:r>
            <w:r>
              <w:rPr>
                <w:rFonts w:hint="eastAsia" w:ascii="宋体" w:hAnsi="宋体" w:eastAsia="宋体" w:cs="宋体"/>
                <w:sz w:val="24"/>
                <w:szCs w:val="24"/>
              </w:rPr>
              <w:t>领域</w:t>
            </w:r>
            <w:r>
              <w:rPr>
                <w:rFonts w:hint="eastAsia" w:ascii="宋体" w:hAnsi="宋体" w:eastAsia="宋体" w:cs="宋体"/>
                <w:sz w:val="24"/>
                <w:szCs w:val="24"/>
                <w:lang w:val="en-US" w:eastAsia="zh-CN"/>
              </w:rPr>
              <w:t>最新</w:t>
            </w:r>
            <w:r>
              <w:rPr>
                <w:rFonts w:hint="eastAsia" w:ascii="宋体" w:hAnsi="宋体" w:eastAsia="宋体" w:cs="宋体"/>
                <w:sz w:val="24"/>
                <w:szCs w:val="24"/>
              </w:rPr>
              <w:t>的学术进展和最新动向</w:t>
            </w:r>
            <w:r>
              <w:rPr>
                <w:rFonts w:hint="eastAsia" w:ascii="宋体" w:hAnsi="宋体" w:eastAsia="宋体" w:cs="宋体"/>
                <w:sz w:val="24"/>
                <w:szCs w:val="24"/>
                <w:lang w:eastAsia="zh-CN"/>
              </w:rPr>
              <w:t>。</w:t>
            </w:r>
          </w:p>
          <w:p w14:paraId="003D37D3">
            <w:pPr>
              <w:spacing w:line="340" w:lineRule="exact"/>
              <w:ind w:firstLine="361" w:firstLineChars="150"/>
              <w:rPr>
                <w:rFonts w:hint="eastAsia" w:ascii="宋体" w:hAnsi="宋体" w:eastAsia="宋体" w:cs="宋体"/>
                <w:b/>
                <w:sz w:val="24"/>
                <w:szCs w:val="24"/>
              </w:rPr>
            </w:pPr>
          </w:p>
          <w:p w14:paraId="3D5995E0">
            <w:pPr>
              <w:spacing w:line="340" w:lineRule="exact"/>
              <w:ind w:firstLine="361" w:firstLineChars="150"/>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、结论</w:t>
            </w:r>
          </w:p>
          <w:p w14:paraId="0DBD03D2">
            <w:pPr>
              <w:widowControl/>
              <w:adjustRightInd w:val="0"/>
              <w:snapToGri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综上所述，因国产产品暂无满足采购需求的设备，而进口产品技术先进、应用成熟，特申请购买进口产品。</w:t>
            </w:r>
          </w:p>
          <w:p w14:paraId="449BF6EE">
            <w:pPr>
              <w:widowControl/>
              <w:adjustRightInd w:val="0"/>
              <w:snapToGrid w:val="0"/>
              <w:spacing w:line="340" w:lineRule="exact"/>
              <w:ind w:firstLine="480" w:firstLineChars="200"/>
              <w:jc w:val="left"/>
              <w:rPr>
                <w:rFonts w:hint="eastAsia" w:ascii="宋体" w:hAnsi="宋体" w:eastAsia="宋体" w:cs="宋体"/>
                <w:sz w:val="24"/>
                <w:szCs w:val="24"/>
              </w:rPr>
            </w:pPr>
          </w:p>
        </w:tc>
      </w:tr>
      <w:tr w14:paraId="2331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740" w:type="dxa"/>
            <w:gridSpan w:val="2"/>
            <w:vAlign w:val="center"/>
          </w:tcPr>
          <w:p w14:paraId="4B3FB52E">
            <w:pPr>
              <w:widowControl/>
              <w:spacing w:line="320" w:lineRule="exact"/>
              <w:jc w:val="left"/>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rPr>
              <w:t>三、专家论证意见</w:t>
            </w:r>
          </w:p>
        </w:tc>
      </w:tr>
      <w:tr w14:paraId="2234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740" w:type="dxa"/>
            <w:gridSpan w:val="2"/>
            <w:vAlign w:val="center"/>
          </w:tcPr>
          <w:p w14:paraId="316A7A5F">
            <w:pPr>
              <w:numPr>
                <w:ilvl w:val="0"/>
                <w:numId w:val="0"/>
              </w:numPr>
              <w:spacing w:line="240" w:lineRule="auto"/>
              <w:rPr>
                <w:rFonts w:hint="eastAsia" w:ascii="宋体" w:hAnsi="宋体" w:eastAsia="宋体" w:cs="宋体"/>
                <w:color w:val="000000"/>
                <w:kern w:val="0"/>
                <w:sz w:val="24"/>
                <w:szCs w:val="24"/>
                <w:lang w:val="en-US" w:eastAsia="zh-CN" w:bidi="ar"/>
              </w:rPr>
            </w:pPr>
            <w:bookmarkStart w:id="0" w:name="_GoBack"/>
            <w:bookmarkEnd w:id="0"/>
          </w:p>
          <w:p w14:paraId="26F2491A">
            <w:pPr>
              <w:widowControl/>
              <w:spacing w:line="3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经过调研，国产电子支气管镜系统的参数性能与进口电子支气管镜系统相比有一定的差距，图像质量及操作性能都难以满足医院医疗要求，而进口电子支气管镜系统产品性能先进稳定、售后服务体系完善，符合医院医疗要求，且具有不可替代性。因此，建议采购进口电子支气管镜系统。</w:t>
            </w:r>
          </w:p>
          <w:p w14:paraId="154838AE">
            <w:pPr>
              <w:widowControl/>
              <w:spacing w:line="320" w:lineRule="exact"/>
              <w:ind w:firstLine="480" w:firstLineChars="200"/>
              <w:rPr>
                <w:rFonts w:hint="eastAsia" w:ascii="宋体" w:hAnsi="宋体" w:eastAsia="宋体" w:cs="宋体"/>
                <w:color w:val="000000"/>
                <w:kern w:val="0"/>
                <w:sz w:val="24"/>
                <w:szCs w:val="24"/>
              </w:rPr>
            </w:pPr>
          </w:p>
          <w:p w14:paraId="7E2D91DC">
            <w:pPr>
              <w:widowControl/>
              <w:spacing w:line="320" w:lineRule="exact"/>
              <w:ind w:firstLine="480" w:firstLineChars="200"/>
              <w:rPr>
                <w:rFonts w:hint="eastAsia" w:ascii="宋体" w:hAnsi="宋体" w:eastAsia="宋体" w:cs="宋体"/>
                <w:color w:val="000000"/>
                <w:kern w:val="0"/>
                <w:sz w:val="24"/>
                <w:szCs w:val="24"/>
              </w:rPr>
            </w:pPr>
          </w:p>
          <w:p w14:paraId="1C48F7C9">
            <w:pPr>
              <w:widowControl/>
              <w:spacing w:line="320" w:lineRule="exact"/>
              <w:rPr>
                <w:rFonts w:hint="eastAsia" w:ascii="宋体" w:hAnsi="宋体" w:eastAsia="宋体" w:cs="宋体"/>
                <w:color w:val="000000"/>
                <w:kern w:val="0"/>
                <w:sz w:val="24"/>
                <w:szCs w:val="24"/>
              </w:rPr>
            </w:pPr>
          </w:p>
          <w:p w14:paraId="5C339BD2">
            <w:pPr>
              <w:widowControl/>
              <w:spacing w:line="320" w:lineRule="exact"/>
              <w:ind w:right="315" w:firstLine="7320" w:firstLineChars="3050"/>
              <w:jc w:val="right"/>
              <w:rPr>
                <w:rFonts w:hint="eastAsia" w:ascii="宋体" w:hAnsi="宋体" w:eastAsia="宋体" w:cs="宋体"/>
                <w:color w:val="000000"/>
                <w:kern w:val="0"/>
                <w:sz w:val="24"/>
                <w:szCs w:val="24"/>
              </w:rPr>
            </w:pPr>
          </w:p>
          <w:p w14:paraId="3EC54BAF">
            <w:pPr>
              <w:widowControl/>
              <w:wordWrap w:val="0"/>
              <w:spacing w:line="320" w:lineRule="exact"/>
              <w:ind w:right="1260"/>
              <w:jc w:val="right"/>
              <w:rPr>
                <w:rFonts w:hint="eastAsia" w:ascii="宋体" w:hAnsi="宋体" w:eastAsia="宋体" w:cs="宋体"/>
                <w:color w:val="000000"/>
                <w:kern w:val="0"/>
                <w:sz w:val="24"/>
                <w:szCs w:val="24"/>
              </w:rPr>
            </w:pPr>
          </w:p>
          <w:p w14:paraId="30C8AA89">
            <w:pPr>
              <w:widowControl/>
              <w:wordWrap w:val="0"/>
              <w:spacing w:line="320" w:lineRule="exact"/>
              <w:ind w:right="1260"/>
              <w:jc w:val="right"/>
              <w:rPr>
                <w:rFonts w:hint="eastAsia" w:ascii="宋体" w:hAnsi="宋体" w:eastAsia="宋体" w:cs="宋体"/>
                <w:color w:val="000000"/>
                <w:kern w:val="0"/>
                <w:sz w:val="24"/>
                <w:szCs w:val="24"/>
              </w:rPr>
            </w:pPr>
          </w:p>
          <w:p w14:paraId="093EDAC7">
            <w:pPr>
              <w:widowControl/>
              <w:wordWrap w:val="0"/>
              <w:spacing w:line="320" w:lineRule="exact"/>
              <w:ind w:right="1260"/>
              <w:jc w:val="right"/>
              <w:rPr>
                <w:rFonts w:hint="eastAsia" w:ascii="宋体" w:hAnsi="宋体" w:eastAsia="宋体" w:cs="宋体"/>
                <w:color w:val="000000"/>
                <w:kern w:val="0"/>
                <w:sz w:val="24"/>
                <w:szCs w:val="24"/>
              </w:rPr>
            </w:pPr>
          </w:p>
          <w:p w14:paraId="18A5F3F4">
            <w:pPr>
              <w:widowControl/>
              <w:wordWrap w:val="0"/>
              <w:spacing w:line="320" w:lineRule="exact"/>
              <w:ind w:right="1260"/>
              <w:jc w:val="right"/>
              <w:rPr>
                <w:rFonts w:hint="eastAsia" w:ascii="宋体" w:hAnsi="宋体" w:eastAsia="宋体" w:cs="宋体"/>
                <w:color w:val="000000"/>
                <w:kern w:val="0"/>
                <w:sz w:val="24"/>
                <w:szCs w:val="24"/>
              </w:rPr>
            </w:pPr>
          </w:p>
          <w:p w14:paraId="1B903707">
            <w:pPr>
              <w:widowControl/>
              <w:wordWrap w:val="0"/>
              <w:spacing w:line="320" w:lineRule="exact"/>
              <w:ind w:right="1260"/>
              <w:jc w:val="right"/>
              <w:rPr>
                <w:rFonts w:hint="eastAsia" w:ascii="宋体" w:hAnsi="宋体" w:eastAsia="宋体" w:cs="宋体"/>
                <w:color w:val="000000"/>
                <w:kern w:val="0"/>
                <w:sz w:val="24"/>
                <w:szCs w:val="24"/>
                <w:lang w:val="en-US" w:eastAsia="zh-CN"/>
              </w:rPr>
            </w:pPr>
          </w:p>
        </w:tc>
      </w:tr>
    </w:tbl>
    <w:p w14:paraId="5BF99245">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A14C7A"/>
    <w:rsid w:val="03231820"/>
    <w:rsid w:val="085E4C49"/>
    <w:rsid w:val="089B712A"/>
    <w:rsid w:val="091E4B0C"/>
    <w:rsid w:val="0C6236CC"/>
    <w:rsid w:val="0D6671EC"/>
    <w:rsid w:val="0D780CCE"/>
    <w:rsid w:val="164F1EC7"/>
    <w:rsid w:val="18FA4378"/>
    <w:rsid w:val="1A4D795A"/>
    <w:rsid w:val="2B475329"/>
    <w:rsid w:val="2B520958"/>
    <w:rsid w:val="2B6568CC"/>
    <w:rsid w:val="2BEE6557"/>
    <w:rsid w:val="302A1EA4"/>
    <w:rsid w:val="3168109A"/>
    <w:rsid w:val="32D61E6F"/>
    <w:rsid w:val="34A074D9"/>
    <w:rsid w:val="34F07218"/>
    <w:rsid w:val="37CE54A9"/>
    <w:rsid w:val="3D112421"/>
    <w:rsid w:val="3F031792"/>
    <w:rsid w:val="4574179F"/>
    <w:rsid w:val="46625A9C"/>
    <w:rsid w:val="46E91D19"/>
    <w:rsid w:val="4A8641B4"/>
    <w:rsid w:val="4DF416CF"/>
    <w:rsid w:val="5EEE3F19"/>
    <w:rsid w:val="608C63D7"/>
    <w:rsid w:val="623C31ED"/>
    <w:rsid w:val="64195594"/>
    <w:rsid w:val="689E2005"/>
    <w:rsid w:val="71590B8D"/>
    <w:rsid w:val="72AB3D34"/>
    <w:rsid w:val="740B5AC0"/>
    <w:rsid w:val="782261DE"/>
    <w:rsid w:val="79A100AE"/>
    <w:rsid w:val="7BD36518"/>
    <w:rsid w:val="7C66113B"/>
    <w:rsid w:val="7CA7776D"/>
    <w:rsid w:val="7D0C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2569</Words>
  <Characters>2946</Characters>
  <Lines>0</Lines>
  <Paragraphs>0</Paragraphs>
  <TotalTime>1</TotalTime>
  <ScaleCrop>false</ScaleCrop>
  <LinksUpToDate>false</LinksUpToDate>
  <CharactersWithSpaces>3158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2022-10-12T00:51:00Z</dcterms:created>
  <dc:creator>user</dc:creator>
  <cp:lastModifiedBy>apollo123</cp:lastModifiedBy>
  <dcterms:modified xsi:type="dcterms:W3CDTF">2025-04-10T02:39:40Z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279E716897CB48518C15E27B0BA33516_13</vt:lpwstr>
  </property>
  <property fmtid="{D5CDD505-2E9C-101B-9397-08002B2CF9AE}" pid="4" name="KSOTemplateDocerSaveRecord">
    <vt:lpwstr>eyJoZGlkIjoiMWNkNWU1MTc3ZDQ5ZmI1MzA3NGU2NTQzMjcwNjNlYjYiLCJ1c2VySWQiOiI3MjI0MjIxMDgifQ==</vt:lpwstr>
  </property>
</Properties>
</file>