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77" w:rsidRPr="00547E47" w:rsidRDefault="00F94D77">
      <w:pPr>
        <w:rPr>
          <w:rFonts w:asciiTheme="minorEastAsia" w:eastAsiaTheme="minorEastAsia" w:hAnsiTheme="minorEastAsia"/>
        </w:rPr>
      </w:pPr>
    </w:p>
    <w:tbl>
      <w:tblPr>
        <w:tblStyle w:val="a3"/>
        <w:tblW w:w="0" w:type="auto"/>
        <w:tblLayout w:type="fixed"/>
        <w:tblLook w:val="04A0"/>
      </w:tblPr>
      <w:tblGrid>
        <w:gridCol w:w="1365"/>
        <w:gridCol w:w="12777"/>
      </w:tblGrid>
      <w:tr w:rsidR="00F94D77" w:rsidRPr="00547E47" w:rsidTr="00804C5E">
        <w:tc>
          <w:tcPr>
            <w:tcW w:w="1365" w:type="dxa"/>
          </w:tcPr>
          <w:p w:rsidR="00F94D77" w:rsidRPr="00547E47" w:rsidRDefault="00274FD6" w:rsidP="00C44158">
            <w:pPr>
              <w:pStyle w:val="a4"/>
              <w:spacing w:beforeLines="50" w:line="360" w:lineRule="exact"/>
              <w:ind w:firstLineChars="0" w:firstLine="0"/>
              <w:outlineLvl w:val="0"/>
              <w:rPr>
                <w:rFonts w:asciiTheme="minorEastAsia" w:eastAsiaTheme="minorEastAsia" w:hAnsiTheme="minorEastAsia"/>
                <w:b/>
                <w:bCs/>
                <w:sz w:val="24"/>
              </w:rPr>
            </w:pPr>
            <w:r w:rsidRPr="00547E47">
              <w:rPr>
                <w:rFonts w:asciiTheme="minorEastAsia" w:eastAsiaTheme="minorEastAsia" w:hAnsiTheme="minorEastAsia" w:hint="eastAsia"/>
                <w:b/>
                <w:bCs/>
                <w:sz w:val="24"/>
              </w:rPr>
              <w:t>一．系统技术规格及要求</w:t>
            </w:r>
          </w:p>
          <w:p w:rsidR="00F94D77" w:rsidRPr="00547E47" w:rsidRDefault="00F94D77">
            <w:pPr>
              <w:spacing w:line="360" w:lineRule="exact"/>
              <w:rPr>
                <w:rFonts w:asciiTheme="minorEastAsia" w:eastAsiaTheme="minorEastAsia" w:hAnsiTheme="minorEastAsia"/>
              </w:rPr>
            </w:pPr>
          </w:p>
        </w:tc>
        <w:tc>
          <w:tcPr>
            <w:tcW w:w="12777" w:type="dxa"/>
          </w:tcPr>
          <w:p w:rsidR="00F94D77" w:rsidRPr="00547E47" w:rsidRDefault="00547E47" w:rsidP="00C44158">
            <w:pPr>
              <w:spacing w:beforeLines="50" w:line="360" w:lineRule="exact"/>
              <w:ind w:left="113"/>
              <w:rPr>
                <w:rFonts w:asciiTheme="minorEastAsia" w:eastAsiaTheme="minorEastAsia" w:hAnsiTheme="minorEastAsia"/>
                <w:sz w:val="24"/>
              </w:rPr>
            </w:pPr>
            <w:r w:rsidRPr="00547E47">
              <w:rPr>
                <w:rFonts w:asciiTheme="minorEastAsia" w:eastAsiaTheme="minorEastAsia" w:hAnsiTheme="minorEastAsia" w:hint="eastAsia"/>
                <w:sz w:val="24"/>
              </w:rPr>
              <w:t>1、</w:t>
            </w:r>
            <w:r w:rsidR="00274FD6" w:rsidRPr="00547E47">
              <w:rPr>
                <w:rFonts w:asciiTheme="minorEastAsia" w:eastAsiaTheme="minorEastAsia" w:hAnsiTheme="minorEastAsia" w:hint="eastAsia"/>
                <w:sz w:val="24"/>
              </w:rPr>
              <w:t>安全要求：系统服务器必须在医院内网安装，同时应具备</w:t>
            </w:r>
            <w:r w:rsidR="00274FD6" w:rsidRPr="00547E47">
              <w:rPr>
                <w:rFonts w:asciiTheme="minorEastAsia" w:eastAsiaTheme="minorEastAsia" w:hAnsiTheme="minorEastAsia"/>
                <w:sz w:val="24"/>
              </w:rPr>
              <w:t>多级权限控制</w:t>
            </w:r>
            <w:r w:rsidR="00274FD6" w:rsidRPr="00547E47">
              <w:rPr>
                <w:rFonts w:asciiTheme="minorEastAsia" w:eastAsiaTheme="minorEastAsia" w:hAnsiTheme="minorEastAsia" w:hint="eastAsia"/>
                <w:sz w:val="24"/>
              </w:rPr>
              <w:t>，</w:t>
            </w:r>
            <w:r w:rsidR="00274FD6" w:rsidRPr="00547E47">
              <w:rPr>
                <w:rFonts w:asciiTheme="minorEastAsia" w:eastAsiaTheme="minorEastAsia" w:hAnsiTheme="minorEastAsia"/>
                <w:sz w:val="24"/>
              </w:rPr>
              <w:t>日志保留</w:t>
            </w:r>
            <w:r w:rsidR="00274FD6" w:rsidRPr="00547E47">
              <w:rPr>
                <w:rFonts w:asciiTheme="minorEastAsia" w:eastAsiaTheme="minorEastAsia" w:hAnsiTheme="minorEastAsia" w:hint="eastAsia"/>
                <w:sz w:val="24"/>
              </w:rPr>
              <w:t>至少</w:t>
            </w:r>
            <w:r w:rsidR="00274FD6" w:rsidRPr="00547E47">
              <w:rPr>
                <w:rFonts w:asciiTheme="minorEastAsia" w:eastAsiaTheme="minorEastAsia" w:hAnsiTheme="minorEastAsia"/>
                <w:sz w:val="24"/>
              </w:rPr>
              <w:t>90天</w:t>
            </w:r>
            <w:r w:rsidR="00274FD6" w:rsidRPr="00547E47">
              <w:rPr>
                <w:rFonts w:asciiTheme="minorEastAsia" w:eastAsiaTheme="minorEastAsia" w:hAnsiTheme="minorEastAsia" w:hint="eastAsia"/>
                <w:sz w:val="24"/>
              </w:rPr>
              <w:t>，</w:t>
            </w:r>
            <w:r w:rsidR="00274FD6" w:rsidRPr="00547E47">
              <w:rPr>
                <w:rFonts w:asciiTheme="minorEastAsia" w:eastAsiaTheme="minorEastAsia" w:hAnsiTheme="minorEastAsia"/>
                <w:sz w:val="24"/>
              </w:rPr>
              <w:t>SQL注入攻击防护</w:t>
            </w:r>
            <w:r w:rsidR="00274FD6" w:rsidRPr="00547E47">
              <w:rPr>
                <w:rFonts w:asciiTheme="minorEastAsia" w:eastAsiaTheme="minorEastAsia" w:hAnsiTheme="minorEastAsia" w:hint="eastAsia"/>
                <w:sz w:val="24"/>
              </w:rPr>
              <w:t>，</w:t>
            </w:r>
            <w:r w:rsidR="00274FD6" w:rsidRPr="00547E47">
              <w:rPr>
                <w:rFonts w:asciiTheme="minorEastAsia" w:eastAsiaTheme="minorEastAsia" w:hAnsiTheme="minorEastAsia"/>
                <w:sz w:val="24"/>
              </w:rPr>
              <w:t>Nginx限制高并发</w:t>
            </w:r>
            <w:r w:rsidR="00274FD6" w:rsidRPr="00547E47">
              <w:rPr>
                <w:rFonts w:asciiTheme="minorEastAsia" w:eastAsiaTheme="minorEastAsia" w:hAnsiTheme="minorEastAsia" w:hint="eastAsia"/>
                <w:sz w:val="24"/>
              </w:rPr>
              <w:t>，</w:t>
            </w:r>
            <w:r w:rsidR="00274FD6" w:rsidRPr="00547E47">
              <w:rPr>
                <w:rFonts w:asciiTheme="minorEastAsia" w:eastAsiaTheme="minorEastAsia" w:hAnsiTheme="minorEastAsia"/>
                <w:sz w:val="24"/>
              </w:rPr>
              <w:t>数据库开启IP白名单</w:t>
            </w:r>
            <w:r w:rsidR="00274FD6" w:rsidRPr="00547E47">
              <w:rPr>
                <w:rFonts w:asciiTheme="minorEastAsia" w:eastAsiaTheme="minorEastAsia" w:hAnsiTheme="minorEastAsia" w:hint="eastAsia"/>
                <w:sz w:val="24"/>
              </w:rPr>
              <w:t>等安全容错等功能。</w:t>
            </w:r>
          </w:p>
          <w:p w:rsidR="00F94D77" w:rsidRPr="00A97A33" w:rsidRDefault="00A97A33" w:rsidP="00C44158">
            <w:pPr>
              <w:spacing w:beforeLines="50" w:line="360" w:lineRule="exact"/>
              <w:ind w:left="113"/>
              <w:rPr>
                <w:rFonts w:asciiTheme="minorEastAsia" w:eastAsiaTheme="minorEastAsia" w:hAnsiTheme="minorEastAsia"/>
              </w:rPr>
            </w:pPr>
            <w:r>
              <w:rPr>
                <w:rFonts w:asciiTheme="minorEastAsia" w:eastAsiaTheme="minorEastAsia" w:hAnsiTheme="minorEastAsia" w:hint="eastAsia"/>
                <w:color w:val="000000"/>
                <w:sz w:val="24"/>
              </w:rPr>
              <w:t>2、</w:t>
            </w:r>
            <w:r w:rsidR="00274FD6" w:rsidRPr="00A97A33">
              <w:rPr>
                <w:rFonts w:asciiTheme="minorEastAsia" w:eastAsiaTheme="minorEastAsia" w:hAnsiTheme="minorEastAsia" w:hint="eastAsia"/>
                <w:color w:val="000000"/>
                <w:sz w:val="24"/>
              </w:rPr>
              <w:t>系统开发语言要求：系统开发语言采用跨平台语言，同时采用</w:t>
            </w:r>
            <w:r w:rsidR="00274FD6" w:rsidRPr="00A97A33">
              <w:rPr>
                <w:rFonts w:asciiTheme="minorEastAsia" w:eastAsiaTheme="minorEastAsia" w:hAnsiTheme="minorEastAsia"/>
                <w:color w:val="000000"/>
                <w:sz w:val="24"/>
              </w:rPr>
              <w:t>B/S</w:t>
            </w:r>
            <w:r w:rsidR="00274FD6" w:rsidRPr="00A97A33">
              <w:rPr>
                <w:rFonts w:asciiTheme="minorEastAsia" w:eastAsiaTheme="minorEastAsia" w:hAnsiTheme="minorEastAsia" w:hint="eastAsia"/>
                <w:color w:val="000000"/>
                <w:sz w:val="24"/>
              </w:rPr>
              <w:t>架构。</w:t>
            </w:r>
          </w:p>
          <w:p w:rsidR="00F94D77" w:rsidRPr="00A97A33" w:rsidRDefault="00A97A33" w:rsidP="00C44158">
            <w:pPr>
              <w:spacing w:beforeLines="50" w:line="360" w:lineRule="exact"/>
              <w:ind w:left="113"/>
              <w:outlineLvl w:val="1"/>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r w:rsidR="00274FD6" w:rsidRPr="00A97A33">
              <w:rPr>
                <w:rFonts w:asciiTheme="minorEastAsia" w:eastAsiaTheme="minorEastAsia" w:hAnsiTheme="minorEastAsia" w:hint="eastAsia"/>
                <w:color w:val="000000"/>
                <w:sz w:val="24"/>
              </w:rPr>
              <w:t>系统对接要求：</w:t>
            </w:r>
          </w:p>
          <w:p w:rsidR="00F94D77" w:rsidRPr="00547E47" w:rsidRDefault="00547E47" w:rsidP="00C44158">
            <w:pPr>
              <w:pStyle w:val="a4"/>
              <w:spacing w:beforeLines="50" w:line="360" w:lineRule="exact"/>
              <w:ind w:left="113" w:firstLine="480"/>
              <w:rPr>
                <w:rFonts w:asciiTheme="minorEastAsia" w:eastAsiaTheme="minorEastAsia" w:hAnsiTheme="minorEastAsia"/>
                <w:sz w:val="24"/>
              </w:rPr>
            </w:pPr>
            <w:r w:rsidRPr="00547E47">
              <w:rPr>
                <w:rFonts w:asciiTheme="minorEastAsia" w:eastAsiaTheme="minorEastAsia" w:hAnsiTheme="minorEastAsia" w:hint="eastAsia"/>
                <w:sz w:val="24"/>
              </w:rPr>
              <w:t>(1)</w:t>
            </w:r>
            <w:r w:rsidR="00274FD6" w:rsidRPr="00547E47">
              <w:rPr>
                <w:rFonts w:asciiTheme="minorEastAsia" w:eastAsiaTheme="minorEastAsia" w:hAnsiTheme="minorEastAsia" w:hint="eastAsia"/>
                <w:sz w:val="24"/>
              </w:rPr>
              <w:t>符合原卫生部2002年颁布的《医院信息系统功能基本规范》；符合国家卫生健康委员会规划与信息司于2018年发布的《全国医院信息化建设标准与规范（试行）》。</w:t>
            </w:r>
          </w:p>
          <w:p w:rsidR="00F94D77" w:rsidRPr="00547E47" w:rsidRDefault="00547E47" w:rsidP="00C44158">
            <w:pPr>
              <w:pStyle w:val="a4"/>
              <w:spacing w:beforeLines="50" w:line="360" w:lineRule="exact"/>
              <w:ind w:left="113" w:firstLine="480"/>
              <w:rPr>
                <w:rFonts w:asciiTheme="minorEastAsia" w:eastAsiaTheme="minorEastAsia" w:hAnsiTheme="minorEastAsia"/>
                <w:sz w:val="24"/>
              </w:rPr>
            </w:pPr>
            <w:r>
              <w:rPr>
                <w:rFonts w:asciiTheme="minorEastAsia" w:eastAsiaTheme="minorEastAsia" w:hAnsiTheme="minorEastAsia" w:hint="eastAsia"/>
                <w:sz w:val="24"/>
              </w:rPr>
              <w:t>(2)</w:t>
            </w:r>
            <w:r w:rsidR="00274FD6" w:rsidRPr="00547E47">
              <w:rPr>
                <w:rFonts w:asciiTheme="minorEastAsia" w:eastAsiaTheme="minorEastAsia" w:hAnsiTheme="minorEastAsia" w:hint="eastAsia"/>
                <w:sz w:val="24"/>
              </w:rPr>
              <w:t>实现免费与医院电子病历对接，获取电子病历中的数据内容，包括但不限于主诉、现病史、既往史等信息。</w:t>
            </w:r>
          </w:p>
          <w:p w:rsidR="00F94D77" w:rsidRPr="00547E47" w:rsidRDefault="00547E47" w:rsidP="00C44158">
            <w:pPr>
              <w:pStyle w:val="a4"/>
              <w:spacing w:beforeLines="50" w:line="360" w:lineRule="exact"/>
              <w:ind w:left="113" w:firstLine="480"/>
              <w:rPr>
                <w:rFonts w:asciiTheme="minorEastAsia" w:eastAsiaTheme="minorEastAsia" w:hAnsiTheme="minorEastAsia"/>
                <w:sz w:val="24"/>
              </w:rPr>
            </w:pPr>
            <w:r>
              <w:rPr>
                <w:rFonts w:asciiTheme="minorEastAsia" w:eastAsiaTheme="minorEastAsia" w:hAnsiTheme="minorEastAsia" w:hint="eastAsia"/>
                <w:sz w:val="24"/>
              </w:rPr>
              <w:t>(3)</w:t>
            </w:r>
            <w:r w:rsidR="00274FD6" w:rsidRPr="00547E47">
              <w:rPr>
                <w:rFonts w:asciiTheme="minorEastAsia" w:eastAsiaTheme="minorEastAsia" w:hAnsiTheme="minorEastAsia" w:hint="eastAsia"/>
                <w:sz w:val="24"/>
              </w:rPr>
              <w:t>实现免费与医院集成平台对接，获取集成平台中的数据内容，包括但不限于患者检验结果、检查报告、医嘱内容等。</w:t>
            </w:r>
          </w:p>
          <w:p w:rsidR="00F94D77" w:rsidRPr="00547E47" w:rsidRDefault="00547E47" w:rsidP="00C44158">
            <w:pPr>
              <w:pStyle w:val="a4"/>
              <w:spacing w:beforeLines="50" w:line="360" w:lineRule="exact"/>
              <w:ind w:left="113" w:firstLine="480"/>
              <w:rPr>
                <w:rFonts w:asciiTheme="minorEastAsia" w:eastAsiaTheme="minorEastAsia" w:hAnsiTheme="minorEastAsia"/>
                <w:sz w:val="24"/>
              </w:rPr>
            </w:pPr>
            <w:r>
              <w:rPr>
                <w:rFonts w:asciiTheme="minorEastAsia" w:eastAsiaTheme="minorEastAsia" w:hAnsiTheme="minorEastAsia" w:hint="eastAsia"/>
                <w:sz w:val="24"/>
              </w:rPr>
              <w:t>(4)</w:t>
            </w:r>
            <w:r w:rsidR="00274FD6" w:rsidRPr="00547E47">
              <w:rPr>
                <w:rFonts w:asciiTheme="minorEastAsia" w:eastAsiaTheme="minorEastAsia" w:hAnsiTheme="minorEastAsia" w:hint="eastAsia"/>
                <w:sz w:val="24"/>
              </w:rPr>
              <w:t>实现免费与医院医嘱对接，获取医嘱信息，包括但不限于药品、检验、检查、手术、护理医嘱。</w:t>
            </w:r>
          </w:p>
          <w:p w:rsidR="00F94D77" w:rsidRPr="00547E47" w:rsidRDefault="00547E47" w:rsidP="00C44158">
            <w:pPr>
              <w:pStyle w:val="a4"/>
              <w:spacing w:beforeLines="50" w:line="360" w:lineRule="exact"/>
              <w:ind w:left="113" w:firstLine="480"/>
              <w:rPr>
                <w:rFonts w:asciiTheme="minorEastAsia" w:eastAsiaTheme="minorEastAsia" w:hAnsiTheme="minorEastAsia"/>
                <w:sz w:val="24"/>
              </w:rPr>
            </w:pPr>
            <w:r>
              <w:rPr>
                <w:rFonts w:asciiTheme="minorEastAsia" w:eastAsiaTheme="minorEastAsia" w:hAnsiTheme="minorEastAsia" w:hint="eastAsia"/>
                <w:sz w:val="24"/>
              </w:rPr>
              <w:t>(5)</w:t>
            </w:r>
            <w:r w:rsidR="00274FD6" w:rsidRPr="00547E47">
              <w:rPr>
                <w:rFonts w:asciiTheme="minorEastAsia" w:eastAsiaTheme="minorEastAsia" w:hAnsiTheme="minorEastAsia" w:hint="eastAsia"/>
                <w:sz w:val="24"/>
              </w:rPr>
              <w:t>实现免费与医院LIS/PACS系统对接，获取相关系统中的数据内容，包括影像报告、检查报告等。</w:t>
            </w:r>
          </w:p>
          <w:p w:rsidR="00F94D77" w:rsidRPr="00547E47" w:rsidRDefault="00274FD6" w:rsidP="00C44158">
            <w:pPr>
              <w:spacing w:beforeLines="50" w:line="360" w:lineRule="exact"/>
              <w:ind w:left="113"/>
              <w:rPr>
                <w:rFonts w:asciiTheme="minorEastAsia" w:eastAsiaTheme="minorEastAsia" w:hAnsiTheme="minorEastAsia"/>
                <w:color w:val="000000"/>
                <w:sz w:val="24"/>
              </w:rPr>
            </w:pPr>
            <w:r w:rsidRPr="00547E47">
              <w:rPr>
                <w:rFonts w:asciiTheme="minorEastAsia" w:eastAsiaTheme="minorEastAsia" w:hAnsiTheme="minorEastAsia" w:hint="eastAsia"/>
                <w:color w:val="000000"/>
                <w:sz w:val="24"/>
              </w:rPr>
              <w:t>4、数据格式化要求：不需要电子病历实现结构化录入，可以从非结构化电子病历内容中，通过机器学习，自动抽取结构化信息。</w:t>
            </w:r>
          </w:p>
          <w:p w:rsidR="00F94D77" w:rsidRPr="00547E47" w:rsidRDefault="00274FD6" w:rsidP="00C44158">
            <w:pPr>
              <w:widowControl/>
              <w:spacing w:beforeLines="50" w:line="360" w:lineRule="exact"/>
              <w:ind w:left="113"/>
              <w:rPr>
                <w:rFonts w:asciiTheme="minorEastAsia" w:eastAsiaTheme="minorEastAsia" w:hAnsiTheme="minorEastAsia"/>
                <w:sz w:val="24"/>
              </w:rPr>
            </w:pPr>
            <w:r w:rsidRPr="00547E47">
              <w:rPr>
                <w:rFonts w:asciiTheme="minorEastAsia" w:eastAsiaTheme="minorEastAsia" w:hAnsiTheme="minorEastAsia" w:hint="eastAsia"/>
                <w:sz w:val="24"/>
              </w:rPr>
              <w:t>5、终端用户操作性能指标：软件系统要体现易于理解掌握、操作简单、提示清晰、逻辑性强，直观简洁、帮助信息丰富等特点，保证操作人员以最快速度和最少的击键次数完成工作。</w:t>
            </w:r>
          </w:p>
          <w:p w:rsidR="00F94D77" w:rsidRPr="00547E47" w:rsidRDefault="00274FD6" w:rsidP="00C44158">
            <w:pPr>
              <w:widowControl/>
              <w:spacing w:beforeLines="50" w:line="360" w:lineRule="exact"/>
              <w:ind w:left="113"/>
              <w:rPr>
                <w:rFonts w:asciiTheme="minorEastAsia" w:eastAsiaTheme="minorEastAsia" w:hAnsiTheme="minorEastAsia"/>
                <w:sz w:val="24"/>
              </w:rPr>
            </w:pPr>
            <w:r w:rsidRPr="00547E47">
              <w:rPr>
                <w:rFonts w:asciiTheme="minorEastAsia" w:eastAsiaTheme="minorEastAsia" w:hAnsiTheme="minorEastAsia" w:hint="eastAsia"/>
                <w:color w:val="000000"/>
                <w:sz w:val="24"/>
              </w:rPr>
              <w:t>6</w:t>
            </w:r>
            <w:r w:rsidRPr="00547E47">
              <w:rPr>
                <w:rFonts w:asciiTheme="minorEastAsia" w:eastAsiaTheme="minorEastAsia" w:hAnsiTheme="minorEastAsia"/>
                <w:color w:val="000000"/>
                <w:sz w:val="24"/>
              </w:rPr>
              <w:t>、</w:t>
            </w:r>
            <w:r w:rsidRPr="00547E47">
              <w:rPr>
                <w:rFonts w:asciiTheme="minorEastAsia" w:eastAsiaTheme="minorEastAsia" w:hAnsiTheme="minorEastAsia" w:hint="eastAsia"/>
                <w:sz w:val="24"/>
              </w:rPr>
              <w:t>满足“全国肺栓塞和深静脉血栓形成防治能力建设项目”制定的《三级医院中心建设标准及评分细则（202</w:t>
            </w:r>
            <w:r w:rsidRPr="00547E47">
              <w:rPr>
                <w:rFonts w:asciiTheme="minorEastAsia" w:eastAsiaTheme="minorEastAsia" w:hAnsiTheme="minorEastAsia"/>
                <w:sz w:val="24"/>
              </w:rPr>
              <w:t>2</w:t>
            </w:r>
            <w:r w:rsidRPr="00547E47">
              <w:rPr>
                <w:rFonts w:asciiTheme="minorEastAsia" w:eastAsiaTheme="minorEastAsia" w:hAnsiTheme="minorEastAsia" w:hint="eastAsia"/>
                <w:sz w:val="24"/>
              </w:rPr>
              <w:t>版）》、《医院内静脉血栓栓塞症</w:t>
            </w:r>
            <w:r w:rsidRPr="00547E47">
              <w:rPr>
                <w:rFonts w:asciiTheme="minorEastAsia" w:eastAsiaTheme="minorEastAsia" w:hAnsiTheme="minorEastAsia"/>
                <w:sz w:val="24"/>
              </w:rPr>
              <w:t>防治质量评价与管理</w:t>
            </w:r>
            <w:r w:rsidRPr="00547E47">
              <w:rPr>
                <w:rFonts w:asciiTheme="minorEastAsia" w:eastAsiaTheme="minorEastAsia" w:hAnsiTheme="minorEastAsia" w:hint="eastAsia"/>
                <w:sz w:val="24"/>
              </w:rPr>
              <w:t>指南（2</w:t>
            </w:r>
            <w:r w:rsidRPr="00547E47">
              <w:rPr>
                <w:rFonts w:asciiTheme="minorEastAsia" w:eastAsiaTheme="minorEastAsia" w:hAnsiTheme="minorEastAsia"/>
                <w:sz w:val="24"/>
              </w:rPr>
              <w:t>022</w:t>
            </w:r>
            <w:r w:rsidRPr="00547E47">
              <w:rPr>
                <w:rFonts w:asciiTheme="minorEastAsia" w:eastAsiaTheme="minorEastAsia" w:hAnsiTheme="minorEastAsia" w:hint="eastAsia"/>
                <w:sz w:val="24"/>
              </w:rPr>
              <w:t>版）》、</w:t>
            </w:r>
            <w:r w:rsidRPr="00547E47">
              <w:rPr>
                <w:rFonts w:asciiTheme="minorEastAsia" w:eastAsiaTheme="minorEastAsia" w:hAnsiTheme="minorEastAsia"/>
                <w:sz w:val="24"/>
              </w:rPr>
              <w:t>《医院内静脉血栓栓塞症防治质量评价与管理建议（2022版）》</w:t>
            </w:r>
            <w:r w:rsidRPr="00547E47">
              <w:rPr>
                <w:rFonts w:asciiTheme="minorEastAsia" w:eastAsiaTheme="minorEastAsia" w:hAnsiTheme="minorEastAsia" w:hint="eastAsia"/>
                <w:sz w:val="24"/>
              </w:rPr>
              <w:t>的各项要求。（需提供承诺函，格式自拟）</w:t>
            </w:r>
          </w:p>
          <w:p w:rsidR="00F94D77" w:rsidRPr="00804C5E" w:rsidRDefault="00274FD6" w:rsidP="00804C5E">
            <w:pPr>
              <w:widowControl/>
              <w:spacing w:beforeLines="50" w:line="360" w:lineRule="exact"/>
              <w:ind w:left="220"/>
              <w:rPr>
                <w:rFonts w:asciiTheme="minorEastAsia" w:eastAsiaTheme="minorEastAsia" w:hAnsiTheme="minorEastAsia"/>
                <w:sz w:val="24"/>
              </w:rPr>
            </w:pPr>
            <w:r w:rsidRPr="00547E47">
              <w:rPr>
                <w:rFonts w:asciiTheme="minorEastAsia" w:eastAsiaTheme="minorEastAsia" w:hAnsiTheme="minorEastAsia" w:hint="eastAsia"/>
                <w:color w:val="000000"/>
                <w:sz w:val="24"/>
              </w:rPr>
              <w:t>7</w:t>
            </w:r>
            <w:r w:rsidRPr="00547E47">
              <w:rPr>
                <w:rFonts w:asciiTheme="minorEastAsia" w:eastAsiaTheme="minorEastAsia" w:hAnsiTheme="minorEastAsia"/>
                <w:color w:val="000000"/>
                <w:sz w:val="24"/>
              </w:rPr>
              <w:t>、</w:t>
            </w:r>
            <w:r w:rsidRPr="00547E47">
              <w:rPr>
                <w:rFonts w:asciiTheme="minorEastAsia" w:eastAsiaTheme="minorEastAsia" w:hAnsiTheme="minorEastAsia" w:hint="eastAsia"/>
                <w:sz w:val="24"/>
              </w:rPr>
              <w:t>系统需满足《全国肺栓塞和深静脉血栓形成防治能力建设项目信息化应用与质控管理建议》对VTE信息系统四级标</w:t>
            </w:r>
            <w:r w:rsidRPr="00547E47">
              <w:rPr>
                <w:rFonts w:asciiTheme="minorEastAsia" w:eastAsiaTheme="minorEastAsia" w:hAnsiTheme="minorEastAsia" w:hint="eastAsia"/>
                <w:sz w:val="24"/>
              </w:rPr>
              <w:lastRenderedPageBreak/>
              <w:t>准及以上的技术标准，并具备五级互联互通升级能力，可接入构建多家医疗机构联通的城市</w:t>
            </w:r>
            <w:r w:rsidRPr="00547E47">
              <w:rPr>
                <w:rFonts w:asciiTheme="minorEastAsia" w:eastAsiaTheme="minorEastAsia" w:hAnsiTheme="minorEastAsia"/>
                <w:sz w:val="24"/>
              </w:rPr>
              <w:t>/区域质控大脑中心</w:t>
            </w:r>
            <w:r w:rsidRPr="00547E47">
              <w:rPr>
                <w:rFonts w:asciiTheme="minorEastAsia" w:eastAsiaTheme="minorEastAsia" w:hAnsiTheme="minorEastAsia" w:hint="eastAsia"/>
                <w:sz w:val="24"/>
              </w:rPr>
              <w:t>，如后续医院需要接入</w:t>
            </w:r>
            <w:r w:rsidRPr="00547E47">
              <w:rPr>
                <w:rFonts w:asciiTheme="minorEastAsia" w:eastAsiaTheme="minorEastAsia" w:hAnsiTheme="minorEastAsia"/>
                <w:sz w:val="24"/>
              </w:rPr>
              <w:t>区域质控大脑中心</w:t>
            </w:r>
            <w:r w:rsidRPr="00547E47">
              <w:rPr>
                <w:rFonts w:asciiTheme="minorEastAsia" w:eastAsiaTheme="minorEastAsia" w:hAnsiTheme="minorEastAsia" w:hint="eastAsia"/>
                <w:sz w:val="24"/>
              </w:rPr>
              <w:t>，中标人需完全配合医院改造/调整（具体方式如：接口、视图、ETL数据抽取、数据库复制等主流数据整合方式；</w:t>
            </w:r>
            <w:r w:rsidRPr="00547E47">
              <w:rPr>
                <w:rFonts w:asciiTheme="minorEastAsia" w:eastAsiaTheme="minorEastAsia" w:hAnsiTheme="minorEastAsia" w:hint="eastAsia"/>
                <w:color w:val="000000"/>
                <w:sz w:val="24"/>
                <w:szCs w:val="24"/>
              </w:rPr>
              <w:t>（需提供以区域/多家医院为单位的质控大脑平台界面视图说明，</w:t>
            </w:r>
            <w:r w:rsidRPr="00547E47">
              <w:rPr>
                <w:rFonts w:asciiTheme="minorEastAsia" w:eastAsiaTheme="minorEastAsia" w:hAnsiTheme="minorEastAsia" w:hint="eastAsia"/>
                <w:sz w:val="24"/>
              </w:rPr>
              <w:t>投标文件中提供承诺）</w:t>
            </w:r>
            <w:r w:rsidR="0018540F">
              <w:rPr>
                <w:rFonts w:asciiTheme="minorEastAsia" w:eastAsiaTheme="minorEastAsia" w:hAnsiTheme="minorEastAsia" w:hint="eastAsia"/>
                <w:sz w:val="24"/>
              </w:rPr>
              <w:t>。</w:t>
            </w:r>
          </w:p>
        </w:tc>
      </w:tr>
      <w:tr w:rsidR="00F94D77" w:rsidRPr="00547E47" w:rsidTr="00804C5E">
        <w:tc>
          <w:tcPr>
            <w:tcW w:w="1365" w:type="dxa"/>
          </w:tcPr>
          <w:p w:rsidR="00F94D77" w:rsidRPr="00547E47" w:rsidRDefault="00274FD6" w:rsidP="00C44158">
            <w:pPr>
              <w:pStyle w:val="a4"/>
              <w:widowControl/>
              <w:spacing w:beforeLines="50" w:line="360" w:lineRule="exact"/>
              <w:ind w:firstLineChars="0" w:firstLine="0"/>
              <w:outlineLvl w:val="0"/>
              <w:rPr>
                <w:rFonts w:asciiTheme="minorEastAsia" w:eastAsiaTheme="minorEastAsia" w:hAnsiTheme="minorEastAsia"/>
                <w:b/>
                <w:bCs/>
                <w:sz w:val="24"/>
              </w:rPr>
            </w:pPr>
            <w:r w:rsidRPr="00547E47">
              <w:rPr>
                <w:rFonts w:asciiTheme="minorEastAsia" w:eastAsiaTheme="minorEastAsia" w:hAnsiTheme="minorEastAsia" w:hint="eastAsia"/>
                <w:b/>
                <w:bCs/>
                <w:sz w:val="24"/>
              </w:rPr>
              <w:lastRenderedPageBreak/>
              <w:t>二．系统功能技术参数要求</w:t>
            </w:r>
          </w:p>
          <w:p w:rsidR="00F94D77" w:rsidRPr="00547E47" w:rsidRDefault="00F94D77">
            <w:pPr>
              <w:spacing w:line="360" w:lineRule="exact"/>
              <w:rPr>
                <w:rFonts w:asciiTheme="minorEastAsia" w:eastAsiaTheme="minorEastAsia" w:hAnsiTheme="minorEastAsia"/>
              </w:rPr>
            </w:pPr>
          </w:p>
        </w:tc>
        <w:tc>
          <w:tcPr>
            <w:tcW w:w="12777" w:type="dxa"/>
          </w:tcPr>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指标要求</w:t>
            </w:r>
          </w:p>
          <w:p w:rsidR="00F94D77" w:rsidRPr="00547E47" w:rsidRDefault="00274FD6" w:rsidP="00DE2FB1">
            <w:pPr>
              <w:widowControl/>
              <w:spacing w:after="40" w:line="360" w:lineRule="exact"/>
              <w:ind w:leftChars="200" w:left="420"/>
              <w:jc w:val="left"/>
              <w:textAlignment w:val="center"/>
              <w:rPr>
                <w:rFonts w:asciiTheme="minorEastAsia" w:eastAsiaTheme="minorEastAsia" w:hAnsiTheme="minorEastAsia" w:cs="Microsoft YaHei UI Light"/>
                <w:kern w:val="0"/>
                <w:sz w:val="24"/>
                <w:szCs w:val="24"/>
              </w:rPr>
            </w:pPr>
            <w:r w:rsidRPr="00547E47">
              <w:rPr>
                <w:rFonts w:asciiTheme="minorEastAsia" w:eastAsiaTheme="minorEastAsia" w:hAnsiTheme="minorEastAsia" w:hint="eastAsia"/>
                <w:kern w:val="0"/>
                <w:sz w:val="24"/>
                <w:szCs w:val="24"/>
              </w:rPr>
              <w:t>指标要求需满足2022年国家VTE防治质控标准</w:t>
            </w:r>
          </w:p>
          <w:p w:rsidR="00F94D77" w:rsidRPr="00161D7F"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VTE基础数据处理要求</w:t>
            </w:r>
          </w:p>
          <w:p w:rsidR="00204EDA" w:rsidRPr="00204EDA" w:rsidRDefault="00274FD6" w:rsidP="00DE2FB1">
            <w:pPr>
              <w:widowControl/>
              <w:numPr>
                <w:ilvl w:val="1"/>
                <w:numId w:val="4"/>
              </w:numPr>
              <w:spacing w:after="40" w:line="360" w:lineRule="exact"/>
              <w:ind w:left="0" w:firstLineChars="200" w:firstLine="480"/>
              <w:jc w:val="left"/>
              <w:textAlignment w:val="center"/>
              <w:rPr>
                <w:rFonts w:asciiTheme="minorEastAsia" w:eastAsiaTheme="minorEastAsia" w:hAnsiTheme="minorEastAsia"/>
                <w:sz w:val="24"/>
                <w:szCs w:val="24"/>
              </w:rPr>
            </w:pPr>
            <w:r w:rsidRPr="00547E47">
              <w:rPr>
                <w:rFonts w:asciiTheme="minorEastAsia" w:eastAsiaTheme="minorEastAsia" w:hAnsiTheme="minorEastAsia" w:hint="eastAsia"/>
                <w:kern w:val="0"/>
                <w:sz w:val="24"/>
                <w:szCs w:val="24"/>
              </w:rPr>
              <w:t>VTE数据集成</w:t>
            </w:r>
          </w:p>
          <w:p w:rsidR="00F94D77" w:rsidRPr="00547E47" w:rsidRDefault="00274FD6" w:rsidP="00DE2FB1">
            <w:pPr>
              <w:widowControl/>
              <w:tabs>
                <w:tab w:val="left" w:pos="840"/>
              </w:tabs>
              <w:spacing w:after="40" w:line="360" w:lineRule="exact"/>
              <w:ind w:firstLineChars="200" w:firstLine="480"/>
              <w:jc w:val="left"/>
              <w:textAlignment w:val="center"/>
              <w:rPr>
                <w:rFonts w:asciiTheme="minorEastAsia" w:eastAsiaTheme="minorEastAsia" w:hAnsiTheme="minorEastAsia"/>
                <w:sz w:val="24"/>
                <w:szCs w:val="24"/>
              </w:rPr>
            </w:pPr>
            <w:r w:rsidRPr="00547E47">
              <w:rPr>
                <w:rFonts w:asciiTheme="minorEastAsia" w:eastAsiaTheme="minorEastAsia" w:hAnsiTheme="minorEastAsia" w:hint="eastAsia"/>
                <w:kern w:val="0"/>
                <w:sz w:val="24"/>
                <w:szCs w:val="24"/>
              </w:rPr>
              <w:t>根据项目数据范围及要求，以患者为中心进行VTE数据集成。并实现非结构化数据向结构化数据转换；支持数据实时采集，保证对生产系统数据库性能无影响。支持全量数据集成：患者临床数据全覆盖。</w:t>
            </w:r>
          </w:p>
          <w:p w:rsidR="00204EDA" w:rsidRPr="00204EDA" w:rsidRDefault="00274FD6" w:rsidP="00DE2FB1">
            <w:pPr>
              <w:widowControl/>
              <w:numPr>
                <w:ilvl w:val="1"/>
                <w:numId w:val="4"/>
              </w:numPr>
              <w:spacing w:after="40" w:line="360" w:lineRule="exact"/>
              <w:ind w:left="0" w:firstLineChars="200" w:firstLine="480"/>
              <w:jc w:val="left"/>
              <w:textAlignment w:val="center"/>
              <w:rPr>
                <w:rFonts w:asciiTheme="minorEastAsia" w:eastAsiaTheme="minorEastAsia" w:hAnsiTheme="minorEastAsia"/>
                <w:sz w:val="24"/>
                <w:szCs w:val="24"/>
              </w:rPr>
            </w:pPr>
            <w:r w:rsidRPr="00547E47">
              <w:rPr>
                <w:rFonts w:asciiTheme="minorEastAsia" w:eastAsiaTheme="minorEastAsia" w:hAnsiTheme="minorEastAsia" w:hint="eastAsia"/>
                <w:kern w:val="0"/>
                <w:sz w:val="24"/>
                <w:szCs w:val="24"/>
              </w:rPr>
              <w:t>VTE</w:t>
            </w:r>
            <w:r w:rsidR="00204EDA">
              <w:rPr>
                <w:rFonts w:asciiTheme="minorEastAsia" w:eastAsiaTheme="minorEastAsia" w:hAnsiTheme="minorEastAsia" w:hint="eastAsia"/>
                <w:kern w:val="0"/>
                <w:sz w:val="24"/>
                <w:szCs w:val="24"/>
              </w:rPr>
              <w:t>数据库</w:t>
            </w:r>
          </w:p>
          <w:p w:rsidR="00F94D77" w:rsidRPr="00547E47" w:rsidRDefault="00274FD6" w:rsidP="00DE2FB1">
            <w:pPr>
              <w:widowControl/>
              <w:tabs>
                <w:tab w:val="left" w:pos="840"/>
              </w:tabs>
              <w:spacing w:after="40" w:line="360" w:lineRule="exact"/>
              <w:ind w:left="480"/>
              <w:jc w:val="left"/>
              <w:textAlignment w:val="center"/>
              <w:rPr>
                <w:rFonts w:asciiTheme="minorEastAsia" w:eastAsiaTheme="minorEastAsia" w:hAnsiTheme="minorEastAsia"/>
                <w:sz w:val="24"/>
                <w:szCs w:val="24"/>
              </w:rPr>
            </w:pPr>
            <w:r w:rsidRPr="00547E47">
              <w:rPr>
                <w:rFonts w:asciiTheme="minorEastAsia" w:eastAsiaTheme="minorEastAsia" w:hAnsiTheme="minorEastAsia" w:hint="eastAsia"/>
                <w:kern w:val="0"/>
                <w:sz w:val="24"/>
                <w:szCs w:val="24"/>
              </w:rPr>
              <w:t>治理后的数据自动汇总形成VTE数据库，供后续辅助决策，智能评估，质控统计及科研使用。</w:t>
            </w:r>
          </w:p>
          <w:p w:rsidR="00F94D77" w:rsidRPr="00161D7F"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系统设置功能</w:t>
            </w:r>
          </w:p>
          <w:p w:rsidR="00F94D77" w:rsidRPr="00547E47" w:rsidRDefault="00274FD6" w:rsidP="00DE2FB1">
            <w:pPr>
              <w:widowControl/>
              <w:tabs>
                <w:tab w:val="left" w:pos="840"/>
              </w:tabs>
              <w:spacing w:after="40" w:line="360" w:lineRule="exact"/>
              <w:ind w:firstLineChars="200" w:firstLine="480"/>
              <w:jc w:val="left"/>
              <w:textAlignment w:val="center"/>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角色与权限</w:t>
            </w:r>
            <w:bookmarkStart w:id="0" w:name="_GoBack"/>
            <w:bookmarkEnd w:id="0"/>
            <w:r w:rsidR="00161D7F">
              <w:rPr>
                <w:rFonts w:asciiTheme="minorEastAsia" w:eastAsiaTheme="minorEastAsia" w:hAnsiTheme="minorEastAsia" w:hint="eastAsia"/>
                <w:kern w:val="0"/>
                <w:sz w:val="24"/>
                <w:szCs w:val="24"/>
              </w:rPr>
              <w:t>：</w:t>
            </w:r>
            <w:r w:rsidRPr="00547E47">
              <w:rPr>
                <w:rFonts w:asciiTheme="minorEastAsia" w:eastAsiaTheme="minorEastAsia" w:hAnsiTheme="minorEastAsia" w:hint="eastAsia"/>
                <w:kern w:val="0"/>
                <w:sz w:val="24"/>
                <w:szCs w:val="24"/>
              </w:rPr>
              <w:t>角色与权限系统角色分为医生、主任、护士、护士长、医务科管理等角色，分别对应医院内的各类医护数据权限。</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VTE风险评估功能模块</w:t>
            </w:r>
          </w:p>
          <w:p w:rsidR="00F94D77" w:rsidRPr="00547E47" w:rsidRDefault="00274FD6" w:rsidP="00DE2FB1">
            <w:pPr>
              <w:widowControl/>
              <w:numPr>
                <w:ilvl w:val="1"/>
                <w:numId w:val="6"/>
              </w:numPr>
              <w:spacing w:after="40" w:line="360" w:lineRule="exact"/>
              <w:jc w:val="left"/>
              <w:textAlignment w:val="center"/>
              <w:outlineLvl w:val="2"/>
              <w:rPr>
                <w:rFonts w:asciiTheme="minorEastAsia" w:eastAsiaTheme="minorEastAsia" w:hAnsiTheme="minorEastAsia"/>
                <w:b/>
                <w:bCs/>
                <w:kern w:val="0"/>
                <w:sz w:val="24"/>
                <w:szCs w:val="24"/>
              </w:rPr>
            </w:pPr>
            <w:r w:rsidRPr="00547E47">
              <w:rPr>
                <w:rFonts w:asciiTheme="minorEastAsia" w:eastAsiaTheme="minorEastAsia" w:hAnsiTheme="minorEastAsia" w:hint="eastAsia"/>
                <w:kern w:val="0"/>
                <w:sz w:val="24"/>
                <w:szCs w:val="24"/>
              </w:rPr>
              <w:t>支持最新经典评估模型</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b/>
                <w:bCs/>
                <w:kern w:val="0"/>
                <w:sz w:val="24"/>
                <w:szCs w:val="24"/>
              </w:rPr>
            </w:pPr>
            <w:r w:rsidRPr="00547E47">
              <w:rPr>
                <w:rFonts w:asciiTheme="minorEastAsia" w:eastAsiaTheme="minorEastAsia" w:hAnsiTheme="minorEastAsia" w:hint="eastAsia"/>
                <w:kern w:val="0"/>
                <w:sz w:val="24"/>
                <w:szCs w:val="24"/>
              </w:rPr>
              <w:t>根据“全国肺栓塞和深静脉血栓形成防治能力建设办公室”于2021年发行的《VTE防治质量评价与管理建议（试行版）》所推荐的评估表单要求进行配置，包括：</w:t>
            </w:r>
            <w:r w:rsidRPr="00547E47">
              <w:rPr>
                <w:rFonts w:asciiTheme="minorEastAsia" w:eastAsiaTheme="minorEastAsia" w:hAnsiTheme="minorEastAsia" w:hint="eastAsia"/>
                <w:b/>
                <w:bCs/>
                <w:kern w:val="0"/>
                <w:sz w:val="24"/>
                <w:szCs w:val="24"/>
              </w:rPr>
              <w:t>Caprini评估模型</w:t>
            </w:r>
            <w:r w:rsidRPr="00547E47">
              <w:rPr>
                <w:rFonts w:asciiTheme="minorEastAsia" w:eastAsiaTheme="minorEastAsia" w:hAnsiTheme="minorEastAsia" w:hint="eastAsia"/>
                <w:kern w:val="0"/>
                <w:sz w:val="24"/>
                <w:szCs w:val="24"/>
              </w:rPr>
              <w:t>、</w:t>
            </w:r>
            <w:r w:rsidRPr="00547E47">
              <w:rPr>
                <w:rFonts w:asciiTheme="minorEastAsia" w:eastAsiaTheme="minorEastAsia" w:hAnsiTheme="minorEastAsia" w:hint="eastAsia"/>
                <w:b/>
                <w:bCs/>
                <w:kern w:val="0"/>
                <w:sz w:val="24"/>
                <w:szCs w:val="24"/>
              </w:rPr>
              <w:t>Padua评估模型</w:t>
            </w:r>
            <w:r w:rsidRPr="00547E47">
              <w:rPr>
                <w:rFonts w:asciiTheme="minorEastAsia" w:eastAsiaTheme="minorEastAsia" w:hAnsiTheme="minorEastAsia" w:hint="eastAsia"/>
                <w:kern w:val="0"/>
                <w:sz w:val="24"/>
                <w:szCs w:val="24"/>
              </w:rPr>
              <w:t>、</w:t>
            </w:r>
            <w:r w:rsidRPr="00547E47">
              <w:rPr>
                <w:rFonts w:asciiTheme="minorEastAsia" w:eastAsiaTheme="minorEastAsia" w:hAnsiTheme="minorEastAsia" w:hint="eastAsia"/>
                <w:b/>
                <w:bCs/>
                <w:kern w:val="0"/>
                <w:sz w:val="24"/>
                <w:szCs w:val="24"/>
              </w:rPr>
              <w:t>妇产科评估</w:t>
            </w:r>
            <w:r w:rsidRPr="00547E47">
              <w:rPr>
                <w:rFonts w:asciiTheme="minorEastAsia" w:eastAsiaTheme="minorEastAsia" w:hAnsiTheme="minorEastAsia" w:hint="eastAsia"/>
                <w:kern w:val="0"/>
                <w:sz w:val="24"/>
                <w:szCs w:val="24"/>
              </w:rPr>
              <w:t>（基于2020年发布《上海市产科静脉血栓栓塞症防治的专家共识》，RCOG版量表）、</w:t>
            </w:r>
            <w:r w:rsidRPr="00547E47">
              <w:rPr>
                <w:rFonts w:asciiTheme="minorEastAsia" w:eastAsiaTheme="minorEastAsia" w:hAnsiTheme="minorEastAsia" w:hint="eastAsia"/>
                <w:b/>
                <w:bCs/>
                <w:kern w:val="0"/>
                <w:sz w:val="24"/>
                <w:szCs w:val="24"/>
              </w:rPr>
              <w:t>肿瘤科评估</w:t>
            </w:r>
            <w:r w:rsidRPr="00547E47">
              <w:rPr>
                <w:rFonts w:asciiTheme="minorEastAsia" w:eastAsiaTheme="minorEastAsia" w:hAnsiTheme="minorEastAsia" w:hint="eastAsia"/>
                <w:kern w:val="0"/>
                <w:sz w:val="24"/>
                <w:szCs w:val="24"/>
              </w:rPr>
              <w:t>（基于《肿瘤患者静脉血栓防治指南 CSCO 2020》）、</w:t>
            </w:r>
            <w:r w:rsidRPr="00547E47">
              <w:rPr>
                <w:rFonts w:asciiTheme="minorEastAsia" w:eastAsiaTheme="minorEastAsia" w:hAnsiTheme="minorEastAsia" w:hint="eastAsia"/>
                <w:b/>
                <w:bCs/>
                <w:kern w:val="0"/>
                <w:sz w:val="24"/>
                <w:szCs w:val="24"/>
              </w:rPr>
              <w:t>外科出血风险评估模型</w:t>
            </w:r>
            <w:r w:rsidRPr="00547E47">
              <w:rPr>
                <w:rFonts w:asciiTheme="minorEastAsia" w:eastAsiaTheme="minorEastAsia" w:hAnsiTheme="minorEastAsia" w:hint="eastAsia"/>
                <w:kern w:val="0"/>
                <w:sz w:val="24"/>
                <w:szCs w:val="24"/>
              </w:rPr>
              <w:t>、</w:t>
            </w:r>
            <w:r w:rsidRPr="00547E47">
              <w:rPr>
                <w:rFonts w:asciiTheme="minorEastAsia" w:eastAsiaTheme="minorEastAsia" w:hAnsiTheme="minorEastAsia" w:hint="eastAsia"/>
                <w:b/>
                <w:bCs/>
                <w:kern w:val="0"/>
                <w:sz w:val="24"/>
                <w:szCs w:val="24"/>
              </w:rPr>
              <w:t>内科出血评估模型</w:t>
            </w:r>
            <w:r w:rsidRPr="00547E47">
              <w:rPr>
                <w:rFonts w:asciiTheme="minorEastAsia" w:eastAsiaTheme="minorEastAsia" w:hAnsiTheme="minorEastAsia" w:hint="eastAsia"/>
                <w:kern w:val="0"/>
                <w:sz w:val="24"/>
                <w:szCs w:val="24"/>
              </w:rPr>
              <w:t>（参考《2018-中国肺栓塞诊治与预防指南-YX14A07指南规范》）、</w:t>
            </w:r>
            <w:r w:rsidRPr="00547E47">
              <w:rPr>
                <w:rFonts w:asciiTheme="minorEastAsia" w:eastAsiaTheme="minorEastAsia" w:hAnsiTheme="minorEastAsia" w:hint="eastAsia"/>
                <w:b/>
                <w:bCs/>
                <w:kern w:val="0"/>
                <w:sz w:val="24"/>
                <w:szCs w:val="24"/>
              </w:rPr>
              <w:t>机械预防禁忌评估模型</w:t>
            </w:r>
            <w:r w:rsidRPr="00547E47">
              <w:rPr>
                <w:rFonts w:asciiTheme="minorEastAsia" w:eastAsiaTheme="minorEastAsia" w:hAnsiTheme="minorEastAsia" w:hint="eastAsia"/>
                <w:kern w:val="0"/>
                <w:sz w:val="24"/>
                <w:szCs w:val="24"/>
              </w:rPr>
              <w:t>、</w:t>
            </w:r>
            <w:r w:rsidRPr="00547E47">
              <w:rPr>
                <w:rFonts w:asciiTheme="minorEastAsia" w:eastAsiaTheme="minorEastAsia" w:hAnsiTheme="minorEastAsia" w:hint="eastAsia"/>
                <w:b/>
                <w:bCs/>
                <w:kern w:val="0"/>
                <w:sz w:val="24"/>
                <w:szCs w:val="24"/>
              </w:rPr>
              <w:t>DVT Wells评估模型</w:t>
            </w:r>
            <w:r w:rsidRPr="00547E47">
              <w:rPr>
                <w:rFonts w:asciiTheme="minorEastAsia" w:eastAsiaTheme="minorEastAsia" w:hAnsiTheme="minorEastAsia" w:hint="eastAsia"/>
                <w:kern w:val="0"/>
                <w:sz w:val="24"/>
                <w:szCs w:val="24"/>
              </w:rPr>
              <w:t>、</w:t>
            </w:r>
            <w:r w:rsidRPr="00547E47">
              <w:rPr>
                <w:rFonts w:asciiTheme="minorEastAsia" w:eastAsiaTheme="minorEastAsia" w:hAnsiTheme="minorEastAsia" w:hint="eastAsia"/>
                <w:b/>
                <w:bCs/>
                <w:kern w:val="0"/>
                <w:sz w:val="24"/>
                <w:szCs w:val="24"/>
              </w:rPr>
              <w:t>PE 简化Wells评估模型</w:t>
            </w:r>
            <w:r w:rsidRPr="00547E47">
              <w:rPr>
                <w:rFonts w:asciiTheme="minorEastAsia" w:eastAsiaTheme="minorEastAsia" w:hAnsiTheme="minorEastAsia" w:hint="eastAsia"/>
                <w:kern w:val="0"/>
                <w:sz w:val="24"/>
                <w:szCs w:val="24"/>
              </w:rPr>
              <w:t>等。</w:t>
            </w:r>
          </w:p>
          <w:p w:rsidR="00F94D77" w:rsidRPr="00547E47" w:rsidRDefault="00274FD6" w:rsidP="00DE2FB1">
            <w:pPr>
              <w:widowControl/>
              <w:numPr>
                <w:ilvl w:val="1"/>
                <w:numId w:val="6"/>
              </w:numPr>
              <w:spacing w:after="40" w:line="360" w:lineRule="exact"/>
              <w:jc w:val="left"/>
              <w:textAlignment w:val="center"/>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自定义评估节点</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lastRenderedPageBreak/>
              <w:t>评估时间节点支持按医院需求自定义，默认包含至少7个评分节点：术前评分、入院评分、术后评分、病情变化后、出院评分、转科后评分、其他评分、阶段小结。</w:t>
            </w:r>
          </w:p>
          <w:p w:rsidR="00F94D77" w:rsidRPr="00547E47" w:rsidRDefault="00274FD6" w:rsidP="00DE2FB1">
            <w:pPr>
              <w:widowControl/>
              <w:numPr>
                <w:ilvl w:val="1"/>
                <w:numId w:val="6"/>
              </w:numPr>
              <w:spacing w:after="40" w:line="360" w:lineRule="exact"/>
              <w:jc w:val="left"/>
              <w:textAlignment w:val="center"/>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支持规范评估流程</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VTE风险评估如为中高危，需配合医院强制进行出血风险以及机械禁忌评估，同时建议进行简化Wells PE与DVT评分。</w:t>
            </w:r>
          </w:p>
          <w:p w:rsidR="00F94D77" w:rsidRPr="00547E47" w:rsidRDefault="00274FD6" w:rsidP="00DE2FB1">
            <w:pPr>
              <w:widowControl/>
              <w:numPr>
                <w:ilvl w:val="1"/>
                <w:numId w:val="6"/>
              </w:numPr>
              <w:spacing w:after="40" w:line="360" w:lineRule="exact"/>
              <w:jc w:val="left"/>
              <w:textAlignment w:val="center"/>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支持评估历史记录查看</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医院患者的所有评估记录，在系统后台的“评分管理”中均可查找到，所有数据按照角色权限进行显示。</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支持查看在院、出院24小时内、已出院的患者。</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支持第三方系统以网页方式调取VTE评估结果。</w:t>
            </w:r>
          </w:p>
          <w:p w:rsidR="00F94D77" w:rsidRPr="00547E47" w:rsidRDefault="00274FD6" w:rsidP="00DE2FB1">
            <w:pPr>
              <w:widowControl/>
              <w:numPr>
                <w:ilvl w:val="1"/>
                <w:numId w:val="6"/>
              </w:numPr>
              <w:spacing w:after="40" w:line="360" w:lineRule="exact"/>
              <w:jc w:val="left"/>
              <w:textAlignment w:val="center"/>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支持评估记录归档与打印</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评估完成后，VTE系统支持评估记录的归档与打印，同时如医院有“电子存档需要“可以自动将评估记录以PDF的形式上传至医院指定的内网服务器。</w:t>
            </w:r>
          </w:p>
          <w:p w:rsidR="00F94D77" w:rsidRPr="00547E47" w:rsidRDefault="00274FD6" w:rsidP="00DE2FB1">
            <w:pPr>
              <w:widowControl/>
              <w:numPr>
                <w:ilvl w:val="1"/>
                <w:numId w:val="6"/>
              </w:numPr>
              <w:spacing w:after="40" w:line="360" w:lineRule="exact"/>
              <w:jc w:val="left"/>
              <w:textAlignment w:val="center"/>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支持配置与打印</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支持抗凝治疗知情同意书、宣教、VTE知情同意书的配置与打印。</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支持记录相关文本打印次数，当打印次数为0时进行未执行提醒。</w:t>
            </w:r>
          </w:p>
          <w:p w:rsidR="00F94D77" w:rsidRPr="00547E47" w:rsidRDefault="00274FD6" w:rsidP="00DE2FB1">
            <w:pPr>
              <w:widowControl/>
              <w:numPr>
                <w:ilvl w:val="1"/>
                <w:numId w:val="6"/>
              </w:numPr>
              <w:spacing w:after="40" w:line="360" w:lineRule="exact"/>
              <w:jc w:val="left"/>
              <w:textAlignment w:val="center"/>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支持评分项目说明提示功能</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在进行VTE风险评估时，当鼠标移动到评估选项上，会出现相关选项提示。该提示可以根据医院需要进行个性配置。</w:t>
            </w:r>
          </w:p>
          <w:p w:rsidR="00F94D77" w:rsidRPr="00547E47" w:rsidRDefault="00274FD6" w:rsidP="00DE2FB1">
            <w:pPr>
              <w:widowControl/>
              <w:numPr>
                <w:ilvl w:val="1"/>
                <w:numId w:val="6"/>
              </w:numPr>
              <w:spacing w:after="40" w:line="360" w:lineRule="exact"/>
              <w:jc w:val="left"/>
              <w:textAlignment w:val="center"/>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支持自动推荐合理预防措施</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当风险评估完成，VTE系统自动根据患者的VTE风险等级、出血风险、机械禁忌、DVT风险、PE风险向临床医生推荐合适的预防以及检查诊断措施。</w:t>
            </w:r>
          </w:p>
          <w:p w:rsidR="00F94D77" w:rsidRPr="00547E47" w:rsidRDefault="00274FD6" w:rsidP="00DE2FB1">
            <w:pPr>
              <w:widowControl/>
              <w:numPr>
                <w:ilvl w:val="1"/>
                <w:numId w:val="6"/>
              </w:numPr>
              <w:spacing w:after="40" w:line="360" w:lineRule="exact"/>
              <w:jc w:val="left"/>
              <w:textAlignment w:val="center"/>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支持诊断流程展示</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评分结果界面展示DVT诊断流程和PE诊断流程</w:t>
            </w:r>
          </w:p>
          <w:p w:rsidR="00F94D77" w:rsidRPr="00547E47" w:rsidRDefault="00274FD6" w:rsidP="00DE2FB1">
            <w:pPr>
              <w:widowControl/>
              <w:numPr>
                <w:ilvl w:val="1"/>
                <w:numId w:val="6"/>
              </w:numPr>
              <w:spacing w:after="40" w:line="360" w:lineRule="exact"/>
              <w:jc w:val="left"/>
              <w:textAlignment w:val="center"/>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支持评估页面查看患者VTE评估进程</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lastRenderedPageBreak/>
              <w:t>评分界面中的历史评分记录可以根据入院时间、转科时间、手术结、护理等级变化、入科30天、出院时间等时间节点来观察评分是否及时。</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AI自动风险评估功能模块</w:t>
            </w:r>
          </w:p>
          <w:p w:rsidR="00F94D77" w:rsidRPr="00547E47" w:rsidRDefault="00274FD6" w:rsidP="00DE2FB1">
            <w:pPr>
              <w:numPr>
                <w:ilvl w:val="1"/>
                <w:numId w:val="7"/>
              </w:numPr>
              <w:spacing w:after="40" w:line="360" w:lineRule="exact"/>
              <w:jc w:val="left"/>
              <w:outlineLvl w:val="2"/>
              <w:rPr>
                <w:rFonts w:asciiTheme="minorEastAsia" w:eastAsiaTheme="minorEastAsia" w:hAnsiTheme="minorEastAsia" w:cs="Microsoft YaHei UI Light"/>
                <w:sz w:val="24"/>
                <w:szCs w:val="24"/>
              </w:rPr>
            </w:pPr>
            <w:r w:rsidRPr="00547E47">
              <w:rPr>
                <w:rFonts w:asciiTheme="minorEastAsia" w:eastAsiaTheme="minorEastAsia" w:hAnsiTheme="minorEastAsia" w:hint="eastAsia"/>
                <w:kern w:val="0"/>
                <w:sz w:val="24"/>
                <w:szCs w:val="24"/>
              </w:rPr>
              <w:t>支持自动识别患者住院进程</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VTE系统自动识别患者所处住院进程状态，当发现患者状态发生变化时，可自动对患者进行风险评估，同时将结果告知医生进行确认。自动识别进程状态包括但不限于：入院、转科、手术、病情变化、出院等。</w:t>
            </w:r>
          </w:p>
          <w:p w:rsidR="00F94D77" w:rsidRPr="00547E47" w:rsidRDefault="00274FD6" w:rsidP="00DE2FB1">
            <w:pPr>
              <w:numPr>
                <w:ilvl w:val="1"/>
                <w:numId w:val="7"/>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支持AI评估与医生评估对比</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医生在确认AI评估结果时，系统在界面上同时显示AI与医生的勾选，方便医生进行选项对比。</w:t>
            </w:r>
          </w:p>
          <w:p w:rsidR="00F94D77" w:rsidRPr="00547E47" w:rsidRDefault="00274FD6" w:rsidP="00DE2FB1">
            <w:pPr>
              <w:numPr>
                <w:ilvl w:val="1"/>
                <w:numId w:val="7"/>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支持AI评估溯源</w:t>
            </w:r>
          </w:p>
          <w:p w:rsidR="00F94D77" w:rsidRPr="00547E47" w:rsidRDefault="00274FD6" w:rsidP="00DE2FB1">
            <w:pPr>
              <w:widowControl/>
              <w:spacing w:after="40" w:line="360" w:lineRule="exact"/>
              <w:ind w:firstLineChars="200" w:firstLine="480"/>
              <w:jc w:val="left"/>
              <w:textAlignment w:val="center"/>
              <w:outlineLvl w:val="1"/>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支持查看AI判断依据</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临床提醒功能模块</w:t>
            </w:r>
          </w:p>
          <w:p w:rsidR="00F94D77" w:rsidRPr="00547E47" w:rsidRDefault="00274FD6" w:rsidP="00DE2FB1">
            <w:pPr>
              <w:widowControl/>
              <w:numPr>
                <w:ilvl w:val="1"/>
                <w:numId w:val="8"/>
              </w:numPr>
              <w:spacing w:after="40" w:line="360" w:lineRule="exact"/>
              <w:jc w:val="left"/>
              <w:textAlignment w:val="center"/>
              <w:outlineLvl w:val="2"/>
              <w:rPr>
                <w:rFonts w:asciiTheme="minorEastAsia" w:eastAsiaTheme="minorEastAsia" w:hAnsiTheme="minorEastAsia" w:cs="Microsoft YaHei UI Light"/>
                <w:sz w:val="24"/>
                <w:szCs w:val="24"/>
              </w:rPr>
            </w:pPr>
            <w:r w:rsidRPr="00547E47">
              <w:rPr>
                <w:rFonts w:asciiTheme="minorEastAsia" w:eastAsiaTheme="minorEastAsia" w:hAnsiTheme="minorEastAsia" w:hint="eastAsia"/>
                <w:kern w:val="0"/>
                <w:sz w:val="24"/>
                <w:szCs w:val="24"/>
              </w:rPr>
              <w:t>一级提醒：仅提示（小工具首页提醒、评估结果的预防提醒）</w:t>
            </w:r>
          </w:p>
          <w:p w:rsidR="00F94D77" w:rsidRPr="00547E47" w:rsidRDefault="0060727A" w:rsidP="00DE2FB1">
            <w:pPr>
              <w:widowControl/>
              <w:spacing w:after="40" w:line="360" w:lineRule="exact"/>
              <w:ind w:firstLineChars="200" w:firstLine="480"/>
              <w:jc w:val="left"/>
              <w:textAlignment w:val="center"/>
              <w:outlineLvl w:val="3"/>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①</w:t>
            </w:r>
            <w:r w:rsidR="00274FD6" w:rsidRPr="00547E47">
              <w:rPr>
                <w:rFonts w:asciiTheme="minorEastAsia" w:eastAsiaTheme="minorEastAsia" w:hAnsiTheme="minorEastAsia" w:hint="eastAsia"/>
                <w:kern w:val="0"/>
                <w:sz w:val="24"/>
                <w:szCs w:val="24"/>
              </w:rPr>
              <w:t>支持评分未确认提醒。</w:t>
            </w:r>
          </w:p>
          <w:p w:rsidR="00F94D77" w:rsidRPr="00547E47" w:rsidRDefault="0060727A"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②</w:t>
            </w:r>
            <w:r w:rsidR="00274FD6" w:rsidRPr="00547E47">
              <w:rPr>
                <w:rFonts w:asciiTheme="minorEastAsia" w:eastAsiaTheme="minorEastAsia" w:hAnsiTheme="minorEastAsia" w:hint="eastAsia"/>
                <w:kern w:val="0"/>
                <w:sz w:val="24"/>
                <w:szCs w:val="24"/>
              </w:rPr>
              <w:t>支持在院患者状态提醒： DDI异常提醒、执行预防提醒、患者评估风险评估提醒。</w:t>
            </w:r>
          </w:p>
          <w:p w:rsidR="00F94D77" w:rsidRPr="00547E47" w:rsidRDefault="0060727A"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highlight w:val="yellow"/>
              </w:rPr>
            </w:pPr>
            <w:r>
              <w:rPr>
                <w:rFonts w:asciiTheme="minorEastAsia" w:eastAsiaTheme="minorEastAsia" w:hAnsiTheme="minorEastAsia" w:hint="eastAsia"/>
                <w:kern w:val="0"/>
                <w:sz w:val="24"/>
                <w:szCs w:val="24"/>
              </w:rPr>
              <w:t>③</w:t>
            </w:r>
            <w:r w:rsidR="00274FD6" w:rsidRPr="00547E47">
              <w:rPr>
                <w:rFonts w:asciiTheme="minorEastAsia" w:eastAsiaTheme="minorEastAsia" w:hAnsiTheme="minorEastAsia" w:hint="eastAsia"/>
                <w:kern w:val="0"/>
                <w:sz w:val="24"/>
                <w:szCs w:val="24"/>
              </w:rPr>
              <w:t>支持72小时出院患者状态提醒：出院患者未评估、出院患者风险评估低危、出院患者风险评估中危、出院患者评估高危、出院患者VTE确诊为PE、DVT和DVT&amp;PE都会在患者小卡片上显示相应的图标。</w:t>
            </w:r>
          </w:p>
          <w:p w:rsidR="00F94D77" w:rsidRPr="00547E47" w:rsidRDefault="00274FD6" w:rsidP="00DE2FB1">
            <w:pPr>
              <w:widowControl/>
              <w:numPr>
                <w:ilvl w:val="1"/>
                <w:numId w:val="8"/>
              </w:numPr>
              <w:spacing w:after="40" w:line="360" w:lineRule="exact"/>
              <w:textAlignment w:val="center"/>
              <w:outlineLvl w:val="2"/>
              <w:rPr>
                <w:rFonts w:asciiTheme="minorEastAsia" w:eastAsiaTheme="minorEastAsia" w:hAnsiTheme="minorEastAsia" w:cs="Microsoft YaHei UI Light"/>
                <w:b/>
                <w:bCs/>
                <w:sz w:val="24"/>
                <w:szCs w:val="24"/>
              </w:rPr>
            </w:pPr>
            <w:r w:rsidRPr="00547E47">
              <w:rPr>
                <w:rFonts w:asciiTheme="minorEastAsia" w:eastAsiaTheme="minorEastAsia" w:hAnsiTheme="minorEastAsia" w:hint="eastAsia"/>
                <w:kern w:val="0"/>
                <w:sz w:val="24"/>
                <w:szCs w:val="24"/>
              </w:rPr>
              <w:t>二级提醒：弹窗提醒（小程序任务提醒）</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highlight w:val="yellow"/>
              </w:rPr>
            </w:pPr>
            <w:r w:rsidRPr="00547E47">
              <w:rPr>
                <w:rFonts w:asciiTheme="minorEastAsia" w:eastAsiaTheme="minorEastAsia" w:hAnsiTheme="minorEastAsia" w:hint="eastAsia"/>
                <w:kern w:val="0"/>
                <w:sz w:val="24"/>
                <w:szCs w:val="24"/>
              </w:rPr>
              <w:t>支持提醒：未确认提醒、未评估提醒、未检查提醒、未预防提醒、预防不当提醒、VTE诊断确认、死亡确认。</w:t>
            </w:r>
          </w:p>
          <w:p w:rsidR="00F94D77" w:rsidRPr="00547E47" w:rsidRDefault="00274FD6" w:rsidP="00DE2FB1">
            <w:pPr>
              <w:numPr>
                <w:ilvl w:val="1"/>
                <w:numId w:val="8"/>
              </w:numPr>
              <w:spacing w:after="40" w:line="360" w:lineRule="exact"/>
              <w:outlineLvl w:val="2"/>
              <w:rPr>
                <w:rFonts w:asciiTheme="minorEastAsia" w:eastAsiaTheme="minorEastAsia" w:hAnsiTheme="minorEastAsia" w:cs="Microsoft YaHei UI Light"/>
                <w:b/>
                <w:bCs/>
                <w:sz w:val="24"/>
                <w:szCs w:val="24"/>
              </w:rPr>
            </w:pPr>
            <w:r w:rsidRPr="00547E47">
              <w:rPr>
                <w:rFonts w:asciiTheme="minorEastAsia" w:eastAsiaTheme="minorEastAsia" w:hAnsiTheme="minorEastAsia" w:hint="eastAsia"/>
                <w:kern w:val="0"/>
                <w:sz w:val="24"/>
                <w:szCs w:val="24"/>
              </w:rPr>
              <w:t>三级提醒：强制卡控（病历文书卡控）</w:t>
            </w:r>
          </w:p>
          <w:p w:rsidR="00F94D77" w:rsidRPr="00547E47" w:rsidRDefault="0060727A"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①</w:t>
            </w:r>
            <w:r w:rsidR="00274FD6" w:rsidRPr="00547E47">
              <w:rPr>
                <w:rFonts w:asciiTheme="minorEastAsia" w:eastAsiaTheme="minorEastAsia" w:hAnsiTheme="minorEastAsia" w:hint="eastAsia"/>
                <w:kern w:val="0"/>
                <w:sz w:val="24"/>
                <w:szCs w:val="24"/>
              </w:rPr>
              <w:t>支持评估卡控（病历文书保存时，强制要求评估）</w:t>
            </w:r>
          </w:p>
          <w:p w:rsidR="00F94D77" w:rsidRPr="00547E47" w:rsidRDefault="0060727A"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②</w:t>
            </w:r>
            <w:r w:rsidR="00274FD6" w:rsidRPr="00547E47">
              <w:rPr>
                <w:rFonts w:asciiTheme="minorEastAsia" w:eastAsiaTheme="minorEastAsia" w:hAnsiTheme="minorEastAsia" w:hint="eastAsia"/>
                <w:kern w:val="0"/>
                <w:sz w:val="24"/>
                <w:szCs w:val="24"/>
              </w:rPr>
              <w:t>支持医嘱卡控（下医嘱时，强制提醒对中高危患者下预防医嘱）</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数据总览</w:t>
            </w:r>
          </w:p>
          <w:p w:rsidR="00F94D77" w:rsidRPr="00547E47" w:rsidRDefault="00274FD6" w:rsidP="00DE2FB1">
            <w:pPr>
              <w:numPr>
                <w:ilvl w:val="1"/>
                <w:numId w:val="9"/>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lastRenderedPageBreak/>
              <w:t>在院监控</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sz w:val="24"/>
                <w:szCs w:val="24"/>
              </w:rPr>
            </w:pPr>
            <w:r w:rsidRPr="00547E47">
              <w:rPr>
                <w:rFonts w:asciiTheme="minorEastAsia" w:eastAsiaTheme="minorEastAsia" w:hAnsiTheme="minorEastAsia" w:hint="eastAsia"/>
                <w:kern w:val="0"/>
                <w:sz w:val="24"/>
                <w:szCs w:val="24"/>
              </w:rPr>
              <w:t>支持实时监控在院患者至少30项以上的VTE防治相关数据及比率，其中包括：在院患者，完成评估（中高危占比、评估确认率、评估未确认、入院24小时未评估、未评估、出血风险评估、高出血风险占比、机械禁忌评估、有机械禁忌占比）、中高危预防（中高危基础预防、中高危未基础预防、预防疑难患者）、药物或机械预防（中高危药物预防、中高危机械预防、中高危未药物预防、中高危未机械预防）、中高危检查（中高危检出率、中高危未检出率）、中高D二聚体检验（D二聚体异常检出、中高危未执行D二聚体检验）、VTE确诊（院前发生、院内发生、VTE诊断）、VTE患者治疗（VTE患者未治疗）。</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支持实时监控在院患者至少4项VTE防治动态数据图，其中包括：VTE风险分布情况、VTE风险中高危患者预防率 、VTE发生占比、VTE治疗占比。</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bookmarkStart w:id="1" w:name="_Hlk144979607"/>
            <w:r w:rsidRPr="00547E47">
              <w:rPr>
                <w:rFonts w:asciiTheme="minorEastAsia" w:eastAsiaTheme="minorEastAsia" w:hAnsiTheme="minorEastAsia" w:hint="eastAsia"/>
                <w:kern w:val="0"/>
                <w:sz w:val="24"/>
                <w:szCs w:val="24"/>
              </w:rPr>
              <w:t>支持卡片方式实时监控各科室在院患者至少5项VTE防治数据，其中包括：科室在院患者数、中高危数、低危数、VTE已确诊、医生确认率</w:t>
            </w:r>
            <w:r w:rsidRPr="00547E47">
              <w:rPr>
                <w:rFonts w:asciiTheme="minorEastAsia" w:eastAsiaTheme="minorEastAsia" w:hAnsiTheme="minorEastAsia" w:cs="Segoe UI" w:hint="eastAsia"/>
                <w:szCs w:val="21"/>
                <w:shd w:val="clear" w:color="auto" w:fill="FFFFFF"/>
              </w:rPr>
              <w:t>,</w:t>
            </w:r>
            <w:r w:rsidRPr="00547E47">
              <w:rPr>
                <w:rFonts w:asciiTheme="minorEastAsia" w:eastAsiaTheme="minorEastAsia" w:hAnsiTheme="minorEastAsia" w:hint="eastAsia"/>
                <w:kern w:val="0"/>
                <w:sz w:val="24"/>
                <w:szCs w:val="24"/>
              </w:rPr>
              <w:t>系统将对存在未评分患者的科室进行提醒（红色科室）。</w:t>
            </w:r>
            <w:bookmarkEnd w:id="1"/>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bookmarkStart w:id="2" w:name="_Hlk144979632"/>
            <w:r w:rsidRPr="00547E47">
              <w:rPr>
                <w:rFonts w:asciiTheme="minorEastAsia" w:eastAsiaTheme="minorEastAsia" w:hAnsiTheme="minorEastAsia" w:hint="eastAsia"/>
                <w:kern w:val="0"/>
                <w:sz w:val="24"/>
                <w:szCs w:val="24"/>
              </w:rPr>
              <w:t>支持列表方式实时监控各科室在院患者至少5项VTE防治数据，其中包括：科室在院患者数、中高危数、低危数、未评分数、VTE已发生数，并支持按照各数据进行正、倒顺序排序。</w:t>
            </w:r>
            <w:bookmarkEnd w:id="2"/>
          </w:p>
          <w:p w:rsidR="00F94D77" w:rsidRPr="00547E47" w:rsidRDefault="00274FD6" w:rsidP="00DE2FB1">
            <w:pPr>
              <w:numPr>
                <w:ilvl w:val="1"/>
                <w:numId w:val="9"/>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科室在院监控</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支持实时监控某个科室在院患者VTE防治数据和比率。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支持实时监控某个科室在院患者至少4项VTE防治动态数据图，其中包括：VTE风险分布情况、VTE风险中高危患者预防率 、VTE发生占比、VTE治疗占比。</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支持按照医疗组进行筛选。</w:t>
            </w:r>
          </w:p>
          <w:p w:rsidR="00F94D77" w:rsidRPr="00547E47" w:rsidRDefault="00274FD6" w:rsidP="00DE2FB1">
            <w:pPr>
              <w:numPr>
                <w:ilvl w:val="1"/>
                <w:numId w:val="9"/>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出院监控</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bookmarkStart w:id="3" w:name="_Hlk144987812"/>
            <w:r w:rsidRPr="00547E47">
              <w:rPr>
                <w:rFonts w:asciiTheme="minorEastAsia" w:eastAsiaTheme="minorEastAsia" w:hAnsiTheme="minorEastAsia" w:hint="eastAsia"/>
                <w:kern w:val="0"/>
                <w:sz w:val="24"/>
                <w:szCs w:val="24"/>
              </w:rPr>
              <w:t>支持实时监控出院患者VTE防治数据和比率。</w:t>
            </w:r>
            <w:bookmarkEnd w:id="3"/>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支持实时监控出院患者至少4项VTE防治动态数据图：VTE患者风险分布情况、VTE风险中高危患者预防率 、VTE发生占比、VTE治疗占比。</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支持列表方式实时监控出院患者VTE防治数据。</w:t>
            </w:r>
          </w:p>
          <w:p w:rsidR="00F94D77" w:rsidRPr="00547E47" w:rsidRDefault="00274FD6" w:rsidP="00DE2FB1">
            <w:pPr>
              <w:numPr>
                <w:ilvl w:val="1"/>
                <w:numId w:val="9"/>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lastRenderedPageBreak/>
              <w:t>科室出院监控</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支持实时监控某个科室出院患者VTE防治数据和比率。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支持实时监控某个科室出院患者至少4项VTE防治动态数据图：VTE患者风险分布情况、VTE风险中高危患者预防率 、VTE发生占比、VTE治疗占比。</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支持按照医疗组进行筛选。</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数据大屏</w:t>
            </w:r>
          </w:p>
          <w:p w:rsidR="00F94D77" w:rsidRPr="00547E47" w:rsidRDefault="00274FD6" w:rsidP="00DE2FB1">
            <w:pPr>
              <w:numPr>
                <w:ilvl w:val="1"/>
                <w:numId w:val="10"/>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出院患者数据大屏</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以数据大屏的形式展现医院历史数据，其中包括：</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VTE风险评估：完成评估率、未评估率、24小时及时评估率、中高危患者占比；VTE出血风险评估：出血风险评估率、出血高危占比；</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VTE预防措施：月度VTE预防措施率、各科室VTE预防措施占比、药物预防实施率、机械预防实施率；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VTE结局质量：VTE检出例数、VTE治疗例数、VTE治疗率。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支持按年份、院区进行数据筛选。</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指标监控</w:t>
            </w:r>
          </w:p>
          <w:p w:rsidR="00F94D77" w:rsidRPr="00547E47" w:rsidRDefault="00274FD6" w:rsidP="00DE2FB1">
            <w:pPr>
              <w:numPr>
                <w:ilvl w:val="1"/>
                <w:numId w:val="1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质控总览</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综合展示某年度医院各科室8种以上的VTE预防情况，包含各科室的：出院人数、医生确认率、VTE中高危人数、VTE中高危比率、中高危药物预防人数、中高危药物预防比率、中高危机械预防人数、中高危机械预防比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支持按年度进行数据筛选。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支持全部、不含日间和仅日间数据筛选。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支持查看原始数据、以及导出。</w:t>
            </w:r>
          </w:p>
          <w:p w:rsidR="00F94D77" w:rsidRPr="00547E47" w:rsidRDefault="00274FD6" w:rsidP="00DE2FB1">
            <w:pPr>
              <w:numPr>
                <w:ilvl w:val="1"/>
                <w:numId w:val="1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评估类指标</w:t>
            </w:r>
          </w:p>
          <w:p w:rsidR="00F94D77" w:rsidRPr="00547E47" w:rsidRDefault="009F2869" w:rsidP="00DE2FB1">
            <w:pPr>
              <w:widowControl/>
              <w:tabs>
                <w:tab w:val="left" w:pos="840"/>
              </w:tabs>
              <w:spacing w:after="40" w:line="360" w:lineRule="exact"/>
              <w:ind w:left="420"/>
              <w:jc w:val="left"/>
              <w:textAlignment w:val="center"/>
              <w:outlineLvl w:val="3"/>
              <w:rPr>
                <w:rFonts w:asciiTheme="minorEastAsia" w:eastAsiaTheme="minorEastAsia" w:hAnsiTheme="minorEastAsia"/>
                <w:b/>
                <w:bCs/>
                <w:kern w:val="0"/>
                <w:sz w:val="24"/>
                <w:szCs w:val="24"/>
              </w:rPr>
            </w:pPr>
            <w:r>
              <w:rPr>
                <w:rFonts w:asciiTheme="minorEastAsia" w:eastAsiaTheme="minorEastAsia" w:hAnsiTheme="minorEastAsia" w:hint="eastAsia"/>
                <w:kern w:val="0"/>
                <w:sz w:val="24"/>
                <w:szCs w:val="24"/>
              </w:rPr>
              <w:t>①</w:t>
            </w:r>
            <w:r w:rsidR="00274FD6" w:rsidRPr="00547E47">
              <w:rPr>
                <w:rFonts w:asciiTheme="minorEastAsia" w:eastAsiaTheme="minorEastAsia" w:hAnsiTheme="minorEastAsia" w:hint="eastAsia"/>
                <w:color w:val="000000"/>
                <w:sz w:val="24"/>
                <w:szCs w:val="24"/>
              </w:rPr>
              <w:t>提供7种以上</w:t>
            </w:r>
            <w:r w:rsidR="00274FD6" w:rsidRPr="00547E47">
              <w:rPr>
                <w:rFonts w:asciiTheme="minorEastAsia" w:eastAsiaTheme="minorEastAsia" w:hAnsiTheme="minorEastAsia" w:hint="eastAsia"/>
                <w:b/>
                <w:bCs/>
                <w:kern w:val="0"/>
                <w:sz w:val="24"/>
                <w:szCs w:val="24"/>
              </w:rPr>
              <w:t>VTE风险评估指标：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lastRenderedPageBreak/>
              <w:t>支持数据统计：VTE风险评估比率、入院后24小时内、手术前24小时内、手术后24小时内、转科后24小时内、出院前24小时内、VTE中高风险比例。</w:t>
            </w:r>
          </w:p>
          <w:p w:rsidR="00F94D77" w:rsidRPr="00547E47" w:rsidRDefault="009F2869" w:rsidP="00DE2FB1">
            <w:pPr>
              <w:widowControl/>
              <w:tabs>
                <w:tab w:val="left" w:pos="840"/>
              </w:tabs>
              <w:spacing w:after="40" w:line="360" w:lineRule="exact"/>
              <w:ind w:firstLineChars="200" w:firstLine="480"/>
              <w:jc w:val="left"/>
              <w:textAlignment w:val="center"/>
              <w:outlineLvl w:val="3"/>
              <w:rPr>
                <w:rFonts w:asciiTheme="minorEastAsia" w:eastAsiaTheme="minorEastAsia" w:hAnsiTheme="minorEastAsia"/>
                <w:b/>
                <w:bCs/>
                <w:kern w:val="0"/>
                <w:sz w:val="24"/>
                <w:szCs w:val="24"/>
              </w:rPr>
            </w:pPr>
            <w:r>
              <w:rPr>
                <w:rFonts w:asciiTheme="minorEastAsia" w:eastAsiaTheme="minorEastAsia" w:hAnsiTheme="minorEastAsia" w:hint="eastAsia"/>
                <w:kern w:val="0"/>
                <w:sz w:val="24"/>
                <w:szCs w:val="24"/>
              </w:rPr>
              <w:t>②</w:t>
            </w:r>
            <w:r w:rsidR="00274FD6" w:rsidRPr="00547E47">
              <w:rPr>
                <w:rFonts w:asciiTheme="minorEastAsia" w:eastAsiaTheme="minorEastAsia" w:hAnsiTheme="minorEastAsia" w:hint="eastAsia"/>
                <w:color w:val="000000"/>
                <w:sz w:val="24"/>
                <w:szCs w:val="24"/>
              </w:rPr>
              <w:t>提供7种以上</w:t>
            </w:r>
            <w:r w:rsidR="00274FD6" w:rsidRPr="00547E47">
              <w:rPr>
                <w:rFonts w:asciiTheme="minorEastAsia" w:eastAsiaTheme="minorEastAsia" w:hAnsiTheme="minorEastAsia" w:hint="eastAsia"/>
                <w:b/>
                <w:bCs/>
                <w:kern w:val="0"/>
                <w:sz w:val="24"/>
                <w:szCs w:val="24"/>
              </w:rPr>
              <w:t>出血风险评估指标：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支持数据统计：出血风险评估比率、入院后24小时内、手术前24小时内、手术后24小时内、转科后24小时内、出院前24小时内、出血高风险比例。</w:t>
            </w:r>
          </w:p>
          <w:p w:rsidR="00F94D77" w:rsidRPr="00547E47" w:rsidRDefault="00274FD6" w:rsidP="00DE2FB1">
            <w:pPr>
              <w:numPr>
                <w:ilvl w:val="1"/>
                <w:numId w:val="1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预防类指标</w:t>
            </w:r>
          </w:p>
          <w:p w:rsidR="00F94D77" w:rsidRPr="00547E47" w:rsidRDefault="00274FD6" w:rsidP="00DE2FB1">
            <w:pPr>
              <w:widowControl/>
              <w:numPr>
                <w:ilvl w:val="1"/>
                <w:numId w:val="13"/>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提供7种以上采取预防措施指标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患者采取VTE预防措施比率、采取VTE预防措施（排除基础预防）、中高危患者采取VTE预防措施比率、中高危患者采取VTE预防措施比率（除基础预防外）、基础预防比率、规范预防措施率、术后深静脉血栓预防措施落实率。</w:t>
            </w:r>
          </w:p>
          <w:p w:rsidR="00F94D77" w:rsidRPr="00547E47" w:rsidRDefault="00274FD6" w:rsidP="00DE2FB1">
            <w:pPr>
              <w:widowControl/>
              <w:numPr>
                <w:ilvl w:val="1"/>
                <w:numId w:val="13"/>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提供7种以上药物预防指标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支持数据统计：药物预防实施率、入院后24小时内、手术前24h~72h内药物预防实施率、手术后24小时内、手术后24h~72h内药物预防实施率、转科后24小时内、出院医嘱带抗凝药比例。</w:t>
            </w:r>
          </w:p>
          <w:p w:rsidR="00F94D77" w:rsidRPr="00547E47" w:rsidRDefault="00274FD6" w:rsidP="00DE2FB1">
            <w:pPr>
              <w:widowControl/>
              <w:numPr>
                <w:ilvl w:val="1"/>
                <w:numId w:val="13"/>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提供6种以上机械预防指标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支持数据统计：机械预防实施率、入院后24小时内、手术前24小时内、手术后24小时内、转科后24小时内、手术中机械预防实施率。</w:t>
            </w:r>
          </w:p>
          <w:p w:rsidR="00F94D77" w:rsidRPr="00547E47" w:rsidRDefault="00274FD6" w:rsidP="00DE2FB1">
            <w:pPr>
              <w:widowControl/>
              <w:numPr>
                <w:ilvl w:val="1"/>
                <w:numId w:val="13"/>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提供6种以上联合预防指标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支持数据统计：联合预防实施率、入院后24小时内、手术前24h~72h内联合预防实施率、手术后24小时内、手术后24h~72h内联合预防实施率、转科后24小时内。</w:t>
            </w:r>
          </w:p>
          <w:p w:rsidR="00F94D77" w:rsidRPr="00547E47" w:rsidRDefault="00274FD6" w:rsidP="00DE2FB1">
            <w:pPr>
              <w:numPr>
                <w:ilvl w:val="1"/>
                <w:numId w:val="1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诊断类指标</w:t>
            </w:r>
          </w:p>
          <w:p w:rsidR="00F94D77" w:rsidRPr="00547E47" w:rsidRDefault="00274FD6" w:rsidP="00DE2FB1">
            <w:pPr>
              <w:widowControl/>
              <w:numPr>
                <w:ilvl w:val="1"/>
                <w:numId w:val="14"/>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提供5种以上VTE检查率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支持数据统计：出院患者DVT影像检查率、中高危患者DVT影像检查率、出院患者PE影像检查率、中高危患者PE影像检查率、高危患者送检率。</w:t>
            </w:r>
          </w:p>
          <w:p w:rsidR="00F94D77" w:rsidRPr="00547E47" w:rsidRDefault="00274FD6" w:rsidP="00DE2FB1">
            <w:pPr>
              <w:widowControl/>
              <w:numPr>
                <w:ilvl w:val="1"/>
                <w:numId w:val="14"/>
              </w:numPr>
              <w:spacing w:after="40" w:line="360" w:lineRule="exact"/>
              <w:jc w:val="left"/>
              <w:textAlignment w:val="center"/>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lastRenderedPageBreak/>
              <w:t>提供2种以上D-二聚体检测率</w:t>
            </w:r>
          </w:p>
          <w:p w:rsidR="00F94D77" w:rsidRPr="00547E47" w:rsidRDefault="00274FD6" w:rsidP="00DE2FB1">
            <w:pPr>
              <w:widowControl/>
              <w:numPr>
                <w:ilvl w:val="1"/>
                <w:numId w:val="14"/>
              </w:numPr>
              <w:spacing w:after="40" w:line="360" w:lineRule="exact"/>
              <w:jc w:val="left"/>
              <w:textAlignment w:val="center"/>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提供4种以上24小时监测</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支持数据统计：24小时凝血监测比率、24小时心脏标志物监测比率、24小时床旁心电图比率、24小时床旁超声比率。</w:t>
            </w:r>
          </w:p>
          <w:p w:rsidR="00F94D77" w:rsidRPr="00547E47" w:rsidRDefault="00274FD6" w:rsidP="00DE2FB1">
            <w:pPr>
              <w:widowControl/>
              <w:numPr>
                <w:ilvl w:val="1"/>
                <w:numId w:val="14"/>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肺动脉造影</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支持数据统计：实施肺动脉造影比率。</w:t>
            </w:r>
          </w:p>
          <w:p w:rsidR="00F94D77" w:rsidRPr="00547E47" w:rsidRDefault="00274FD6" w:rsidP="00DE2FB1">
            <w:pPr>
              <w:widowControl/>
              <w:numPr>
                <w:ilvl w:val="1"/>
                <w:numId w:val="14"/>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CTPA</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支持数据统计：实施CTPA比率。</w:t>
            </w:r>
          </w:p>
          <w:p w:rsidR="00F94D77" w:rsidRPr="00547E47" w:rsidRDefault="00274FD6" w:rsidP="00DE2FB1">
            <w:pPr>
              <w:widowControl/>
              <w:numPr>
                <w:ilvl w:val="1"/>
                <w:numId w:val="14"/>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VQ显像</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支持数据统计：实施VQ显像比率。</w:t>
            </w:r>
          </w:p>
          <w:p w:rsidR="00F94D77" w:rsidRPr="00547E47" w:rsidRDefault="00274FD6" w:rsidP="00DE2FB1">
            <w:pPr>
              <w:widowControl/>
              <w:numPr>
                <w:ilvl w:val="1"/>
                <w:numId w:val="14"/>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下肢静脉超声</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支持数据统计：下肢静脉超声比率。</w:t>
            </w:r>
          </w:p>
          <w:p w:rsidR="00F94D77" w:rsidRPr="00547E47" w:rsidRDefault="00274FD6" w:rsidP="00DE2FB1">
            <w:pPr>
              <w:numPr>
                <w:ilvl w:val="1"/>
                <w:numId w:val="1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治疗类指标</w:t>
            </w:r>
          </w:p>
          <w:p w:rsidR="00F94D77" w:rsidRPr="00547E47" w:rsidRDefault="00274FD6" w:rsidP="00DE2FB1">
            <w:pPr>
              <w:widowControl/>
              <w:numPr>
                <w:ilvl w:val="1"/>
                <w:numId w:val="15"/>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提供6种以上医院相关性VTE治疗率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医院相关性VTE规范治疗率、医院相关性VTE病例住院期间抗凝治疗实施率、医院相关性VTE病例住院期间溶栓治疗实施率、医院相关性VTE病例住院期间介入治疗实施率、医院相关性VTE病例住院期间手术治疗实施率、医院相关性VTE病例出院医嘱带抗凝药比例。</w:t>
            </w:r>
          </w:p>
          <w:p w:rsidR="00F94D77" w:rsidRPr="00547E47" w:rsidRDefault="00274FD6" w:rsidP="00DE2FB1">
            <w:pPr>
              <w:widowControl/>
              <w:numPr>
                <w:ilvl w:val="1"/>
                <w:numId w:val="15"/>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提供6种以上所有VTE治疗率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所有VTE患者规范治疗率、所有VTE患者住院期间抗凝治疗实施率、所有VTE患者住院期间溶栓治疗实施率、所有VTE患者住院期间介入治疗实施率、所有VTE患者住院期间手术治疗实施率、所有VTE患者出院医嘱带抗凝药比例。</w:t>
            </w:r>
          </w:p>
          <w:p w:rsidR="00F94D77" w:rsidRPr="00547E47" w:rsidRDefault="00274FD6" w:rsidP="00DE2FB1">
            <w:pPr>
              <w:numPr>
                <w:ilvl w:val="1"/>
                <w:numId w:val="1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结局类指标</w:t>
            </w:r>
          </w:p>
          <w:p w:rsidR="00F94D77" w:rsidRPr="00547E47" w:rsidRDefault="00274FD6" w:rsidP="00DE2FB1">
            <w:pPr>
              <w:widowControl/>
              <w:numPr>
                <w:ilvl w:val="1"/>
                <w:numId w:val="16"/>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提供6种以上医院相关性VTE检出率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lastRenderedPageBreak/>
              <w:t>支持数据统计：医院相关性VTE检出率、医院相关性单纯DVT检出率、医院相关性单纯PTE（或PE）检出率、医院相关性DVT合并PTE（或PE）检出率、手术患者医院相关性VTE检出率、医院相关性肌间静脉血栓检出率。</w:t>
            </w:r>
          </w:p>
          <w:p w:rsidR="00F94D77" w:rsidRPr="00547E47" w:rsidRDefault="00274FD6" w:rsidP="00DE2FB1">
            <w:pPr>
              <w:widowControl/>
              <w:numPr>
                <w:ilvl w:val="1"/>
                <w:numId w:val="16"/>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提供5种以上所有VTE检出率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支持数据统计：所有VTE检出率、单纯DVT检出率、单纯PTE（或PE）检出率、DVT合并PTE（或PE）检出率、肌间静脉血栓检出率。</w:t>
            </w:r>
          </w:p>
          <w:p w:rsidR="00F94D77" w:rsidRPr="00547E47" w:rsidRDefault="00274FD6" w:rsidP="00DE2FB1">
            <w:pPr>
              <w:widowControl/>
              <w:numPr>
                <w:ilvl w:val="1"/>
                <w:numId w:val="16"/>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提供5种以上出血事件发生率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出血事件发生率、抗凝预防患者住院期间大出血事件发生率、抗凝预防患者住院期间临床相关非大出血事件发生率，抗凝、溶栓治疗患者住院期间大出血事件发生率，抗凝、溶栓治疗患者住院期间临床相关非大出血事件发生率。</w:t>
            </w:r>
          </w:p>
          <w:p w:rsidR="00F94D77" w:rsidRPr="00547E47" w:rsidRDefault="00274FD6" w:rsidP="00DE2FB1">
            <w:pPr>
              <w:widowControl/>
              <w:numPr>
                <w:ilvl w:val="1"/>
                <w:numId w:val="16"/>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提供3种以上医院相关性VTE主因死亡率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支持数据统计：医院相关性VTE主因死亡率、单纯医院相关性DVT主因死亡率、单纯医院相关性PTE（或PE）主因死亡率。</w:t>
            </w:r>
          </w:p>
          <w:p w:rsidR="00F94D77" w:rsidRPr="00547E47" w:rsidRDefault="00274FD6" w:rsidP="00DE2FB1">
            <w:pPr>
              <w:widowControl/>
              <w:numPr>
                <w:ilvl w:val="1"/>
                <w:numId w:val="16"/>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提供4种以上所有VTE患者死亡率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支持数据统计：所有VTE死亡率、单纯DVT死亡率、单纯PTE（或PE）死亡率、DVT合并PTE（或PE）死亡率。</w:t>
            </w:r>
          </w:p>
          <w:p w:rsidR="00F94D77" w:rsidRPr="00547E47" w:rsidRDefault="00274FD6" w:rsidP="00DE2FB1">
            <w:pPr>
              <w:widowControl/>
              <w:numPr>
                <w:ilvl w:val="1"/>
                <w:numId w:val="16"/>
              </w:numPr>
              <w:spacing w:after="40" w:line="360" w:lineRule="exact"/>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提供2种以上医疗安全指标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支持数据统计：手术患者肺栓塞(PE)发生率、手术患者深静脉血栓（DVT）发生率</w:t>
            </w:r>
          </w:p>
          <w:p w:rsidR="00F94D77" w:rsidRPr="00547E47" w:rsidRDefault="00274FD6" w:rsidP="00DE2FB1">
            <w:pPr>
              <w:numPr>
                <w:ilvl w:val="1"/>
                <w:numId w:val="1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成本效率指标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支持数据统计：住院费用、住院时间</w:t>
            </w:r>
          </w:p>
          <w:p w:rsidR="00F94D77" w:rsidRPr="00547E47" w:rsidRDefault="00274FD6" w:rsidP="00DE2FB1">
            <w:pPr>
              <w:numPr>
                <w:ilvl w:val="1"/>
                <w:numId w:val="1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复诊指标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支持数据统计：1月内复诊人数、3月内复诊人数、6月内复诊人数、12月内复诊人数。</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以上评估类、预防类、诊断类、治疗类、结局类指标均支持多种数据维度统计：年度、季度、月度、同期、全院、科室、病区、医疗组等。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支持按院区、科室、病区、医疗组、出院时间进行数据筛选。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lastRenderedPageBreak/>
              <w:t>支持柱状图和统计数据列表展示，柱状图数据可切换为统计比率或者具体数据，统计数据和柱状图可下载导出，页面展示统计比率计算公式。</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支持查看原始数据、以及导出。</w:t>
            </w:r>
          </w:p>
          <w:p w:rsidR="00F94D77" w:rsidRPr="00547E47" w:rsidRDefault="00274FD6" w:rsidP="00DE2FB1">
            <w:pPr>
              <w:numPr>
                <w:ilvl w:val="1"/>
                <w:numId w:val="1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其他指标</w:t>
            </w:r>
          </w:p>
          <w:p w:rsidR="00F94D77" w:rsidRPr="00547E47" w:rsidRDefault="00274FD6" w:rsidP="00DE2FB1">
            <w:pPr>
              <w:widowControl/>
              <w:numPr>
                <w:ilvl w:val="1"/>
                <w:numId w:val="17"/>
              </w:numPr>
              <w:spacing w:after="40" w:line="360" w:lineRule="exact"/>
              <w:ind w:left="0" w:firstLineChars="200" w:firstLine="480"/>
              <w:jc w:val="left"/>
              <w:textAlignment w:val="center"/>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支持数据统计：病案首页填写率、Caprini评分分析、Padua评分分析、产前评分分析、产后评分分析、肿瘤科评分分析、Wells评分分析</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以上其他类指标均支持按院区、科室、病区、出院时间进行数据筛选。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支持饼状图展示未评分、低危、中高危占比。</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支持原始数据导出。</w:t>
            </w:r>
          </w:p>
          <w:p w:rsidR="00F94D77" w:rsidRPr="00547E47" w:rsidRDefault="00274FD6" w:rsidP="00DE2FB1">
            <w:pPr>
              <w:widowControl/>
              <w:numPr>
                <w:ilvl w:val="1"/>
                <w:numId w:val="17"/>
              </w:numPr>
              <w:spacing w:after="40" w:line="360" w:lineRule="exact"/>
              <w:ind w:left="0" w:firstLineChars="200" w:firstLine="480"/>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中高危分布</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支持数据统计：各科室中高危统患者数计、各科室中高危评分分布（Caprini、Padua）。</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支持按院区、科室、病区、出院时间进行数据筛选。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支持柱状图和统计数据列表展示，柱状图数据以具体数据展示，统计数据和柱状图可下载导出。</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支持查看原始数据、以及导出</w:t>
            </w:r>
          </w:p>
          <w:p w:rsidR="00F94D77" w:rsidRPr="00547E47" w:rsidRDefault="00274FD6" w:rsidP="00DE2FB1">
            <w:pPr>
              <w:numPr>
                <w:ilvl w:val="1"/>
                <w:numId w:val="1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根因分析</w:t>
            </w:r>
          </w:p>
          <w:p w:rsidR="00F94D77" w:rsidRPr="00547E47" w:rsidRDefault="00274FD6" w:rsidP="00DE2FB1">
            <w:pPr>
              <w:widowControl/>
              <w:numPr>
                <w:ilvl w:val="1"/>
                <w:numId w:val="18"/>
              </w:numPr>
              <w:spacing w:after="40" w:line="360" w:lineRule="exact"/>
              <w:ind w:left="0" w:firstLineChars="200" w:firstLine="480"/>
              <w:jc w:val="left"/>
              <w:textAlignment w:val="center"/>
              <w:outlineLvl w:val="3"/>
              <w:rPr>
                <w:rFonts w:asciiTheme="minorEastAsia" w:eastAsiaTheme="minorEastAsia" w:hAnsiTheme="minorEastAsia"/>
                <w:color w:val="000000"/>
                <w:sz w:val="24"/>
                <w:szCs w:val="24"/>
              </w:rPr>
            </w:pPr>
            <w:r w:rsidRPr="00547E47">
              <w:rPr>
                <w:rFonts w:asciiTheme="minorEastAsia" w:eastAsiaTheme="minorEastAsia" w:hAnsiTheme="minorEastAsia" w:hint="eastAsia"/>
                <w:color w:val="000000"/>
                <w:sz w:val="24"/>
                <w:szCs w:val="24"/>
              </w:rPr>
              <w:t>提供13种以上风险因素分布</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数据统计：Caprini评分分析、Padua评分分析、产前评分分析、产后评分分析、肿瘤评分分析、出血风险评估、Caprini出血风险评估、Padua出血风险评估、产前出血风险评估、产后出血风险评估、肿瘤出血风险评估、机械预防禁忌、Wells评分分析。</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支持按院区、科室、病区、出院时间进行数据筛选。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支持柱状图、饼状图和统计数据列表展示各风险因素的命中情况，统计数据可下载导出。</w:t>
            </w:r>
          </w:p>
          <w:p w:rsidR="00F94D77" w:rsidRPr="00547E47" w:rsidRDefault="00274FD6" w:rsidP="00DE2FB1">
            <w:pPr>
              <w:numPr>
                <w:ilvl w:val="1"/>
                <w:numId w:val="1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专科指标监控</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ICU专科提供8种以上数据统计：入ICU患者VTE风险评估率、入ICU患者24小时内VTE风险评估率、入ICU患者</w:t>
            </w:r>
            <w:r w:rsidRPr="00547E47">
              <w:rPr>
                <w:rFonts w:asciiTheme="minorEastAsia" w:eastAsiaTheme="minorEastAsia" w:hAnsiTheme="minorEastAsia" w:hint="eastAsia"/>
                <w:kern w:val="0"/>
                <w:sz w:val="24"/>
                <w:szCs w:val="24"/>
              </w:rPr>
              <w:lastRenderedPageBreak/>
              <w:t>VTE风险中高危比率、入ICU患者出血风险评估率、入ICU患者出血风险高危比率、入ICU患者药物预防率、入ICU患者机械预防率、入ICU患者联合预防率。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支持多种数据维度统计：年度、季度、月度、同期、全院、科室、病区、医疗组等。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支持按院区、科室、病区、医疗组、出院时间进行数据筛选。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支持含日间和不含日间数据筛选。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支持柱状图和统计数据列表展示，柱状图数据支持切换为统计比率或者具体数据，统计数据和柱状图支持下载导出，页面展示统计比率计算公式。</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支持查看原始数据、以及导出。</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质量改进</w:t>
            </w:r>
          </w:p>
          <w:p w:rsidR="00F94D77" w:rsidRPr="00547E47" w:rsidRDefault="00274FD6" w:rsidP="00DE2FB1">
            <w:pPr>
              <w:numPr>
                <w:ilvl w:val="1"/>
                <w:numId w:val="19"/>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评分质量</w:t>
            </w:r>
          </w:p>
          <w:p w:rsidR="00F94D77" w:rsidRPr="00547E47" w:rsidRDefault="00353B1E" w:rsidP="00DE2FB1">
            <w:pPr>
              <w:widowControl/>
              <w:spacing w:after="40" w:line="360" w:lineRule="exact"/>
              <w:ind w:firstLineChars="200" w:firstLine="480"/>
              <w:jc w:val="left"/>
              <w:textAlignment w:val="center"/>
              <w:outlineLvl w:val="3"/>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①</w:t>
            </w:r>
            <w:r w:rsidR="00274FD6" w:rsidRPr="00547E47">
              <w:rPr>
                <w:rFonts w:asciiTheme="minorEastAsia" w:eastAsiaTheme="minorEastAsia" w:hAnsiTheme="minorEastAsia" w:hint="eastAsia"/>
                <w:kern w:val="0"/>
                <w:sz w:val="24"/>
                <w:szCs w:val="24"/>
              </w:rPr>
              <w:t>在院未评分</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支持不少于4种数据统计：未评分、入院24小时内未评分、术后24小时内未评分、转科后24小时未评分</w:t>
            </w:r>
          </w:p>
          <w:p w:rsidR="00F94D77" w:rsidRPr="00547E47" w:rsidRDefault="00353B1E" w:rsidP="00DE2FB1">
            <w:pPr>
              <w:widowControl/>
              <w:spacing w:after="40" w:line="360" w:lineRule="exact"/>
              <w:ind w:firstLineChars="200" w:firstLine="480"/>
              <w:jc w:val="left"/>
              <w:textAlignment w:val="center"/>
              <w:outlineLvl w:val="3"/>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②</w:t>
            </w:r>
            <w:r w:rsidR="00274FD6" w:rsidRPr="00547E47">
              <w:rPr>
                <w:rFonts w:asciiTheme="minorEastAsia" w:eastAsiaTheme="minorEastAsia" w:hAnsiTheme="minorEastAsia" w:hint="eastAsia"/>
                <w:kern w:val="0"/>
                <w:sz w:val="24"/>
                <w:szCs w:val="24"/>
              </w:rPr>
              <w:t>出院未评分</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支持不少于6种数据统计：未评分、入院24小时内未评分、术后24小时内未评分、转科后24小时未评分、出院前24小时内未评分、在院未评分出院补评分。</w:t>
            </w:r>
          </w:p>
          <w:p w:rsidR="00F94D77" w:rsidRPr="00547E47" w:rsidRDefault="00353B1E"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③</w:t>
            </w:r>
            <w:r w:rsidR="00274FD6" w:rsidRPr="00547E47">
              <w:rPr>
                <w:rFonts w:asciiTheme="minorEastAsia" w:eastAsiaTheme="minorEastAsia" w:hAnsiTheme="minorEastAsia" w:hint="eastAsia"/>
                <w:kern w:val="0"/>
                <w:sz w:val="24"/>
                <w:szCs w:val="24"/>
              </w:rPr>
              <w:t>出血未评分</w:t>
            </w:r>
          </w:p>
          <w:p w:rsidR="00F94D77" w:rsidRPr="00547E47" w:rsidRDefault="00353B1E"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④</w:t>
            </w:r>
            <w:r w:rsidR="00274FD6" w:rsidRPr="00547E47">
              <w:rPr>
                <w:rFonts w:asciiTheme="minorEastAsia" w:eastAsiaTheme="minorEastAsia" w:hAnsiTheme="minorEastAsia" w:hint="eastAsia"/>
                <w:kern w:val="0"/>
                <w:sz w:val="24"/>
                <w:szCs w:val="24"/>
              </w:rPr>
              <w:t>评分未确认</w:t>
            </w:r>
          </w:p>
          <w:p w:rsidR="00F94D77" w:rsidRPr="00547E47" w:rsidRDefault="00274FD6" w:rsidP="00050D36">
            <w:pPr>
              <w:numPr>
                <w:ilvl w:val="1"/>
                <w:numId w:val="19"/>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预防质量</w:t>
            </w:r>
          </w:p>
          <w:p w:rsidR="00F94D77" w:rsidRPr="00547E47" w:rsidRDefault="00353B1E" w:rsidP="00DE2FB1">
            <w:pPr>
              <w:widowControl/>
              <w:spacing w:after="40" w:line="360" w:lineRule="exact"/>
              <w:ind w:firstLineChars="200" w:firstLine="480"/>
              <w:jc w:val="left"/>
              <w:textAlignment w:val="center"/>
              <w:outlineLvl w:val="3"/>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①</w:t>
            </w:r>
            <w:r w:rsidR="00274FD6" w:rsidRPr="00547E47">
              <w:rPr>
                <w:rFonts w:asciiTheme="minorEastAsia" w:eastAsiaTheme="minorEastAsia" w:hAnsiTheme="minorEastAsia" w:hint="eastAsia"/>
                <w:kern w:val="0"/>
                <w:sz w:val="24"/>
                <w:szCs w:val="24"/>
              </w:rPr>
              <w:t>预防质量（在院）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不少于10种数据统计：未基础预防、中高危未预防（基础、药物或机械）、中高危未预防（药物或机械预防）、未药物预防、未机械预防、未机械预防（有出血风险）、不合理预防、不合理药物预防、不合理机械预防、疑难患者</w:t>
            </w:r>
          </w:p>
          <w:p w:rsidR="00F94D77" w:rsidRPr="00547E47" w:rsidRDefault="00353B1E" w:rsidP="00DE2FB1">
            <w:pPr>
              <w:widowControl/>
              <w:spacing w:after="40" w:line="360" w:lineRule="exact"/>
              <w:ind w:firstLineChars="200" w:firstLine="480"/>
              <w:jc w:val="left"/>
              <w:textAlignment w:val="center"/>
              <w:outlineLvl w:val="3"/>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②</w:t>
            </w:r>
            <w:r w:rsidR="00274FD6" w:rsidRPr="00547E47">
              <w:rPr>
                <w:rFonts w:asciiTheme="minorEastAsia" w:eastAsiaTheme="minorEastAsia" w:hAnsiTheme="minorEastAsia" w:hint="eastAsia"/>
                <w:kern w:val="0"/>
                <w:sz w:val="24"/>
                <w:szCs w:val="24"/>
              </w:rPr>
              <w:t>预防质量（出院）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lastRenderedPageBreak/>
              <w:t>支持不少于9种数据统计：未基础预防、中高危未预防（基础、药物或机械）、中高危未预防（药物或机械预防）、未药物预防、未机械预防、未机械预防（有出血风险）、不合理预防、不合理药物预防、不合理机械预防、疑难患者。</w:t>
            </w:r>
          </w:p>
          <w:p w:rsidR="00F94D77" w:rsidRPr="00547E47" w:rsidRDefault="00353B1E" w:rsidP="00DE2FB1">
            <w:pPr>
              <w:tabs>
                <w:tab w:val="left" w:pos="840"/>
              </w:tabs>
              <w:spacing w:after="40" w:line="360" w:lineRule="exact"/>
              <w:ind w:firstLineChars="200" w:firstLine="480"/>
              <w:jc w:val="left"/>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③</w:t>
            </w:r>
            <w:r w:rsidR="00274FD6" w:rsidRPr="00547E47">
              <w:rPr>
                <w:rFonts w:asciiTheme="minorEastAsia" w:eastAsiaTheme="minorEastAsia" w:hAnsiTheme="minorEastAsia" w:hint="eastAsia"/>
                <w:kern w:val="0"/>
                <w:sz w:val="24"/>
                <w:szCs w:val="24"/>
              </w:rPr>
              <w:t>项目办数据上报</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按照全国肺栓塞和深静脉血栓形成防治能力建设项目办公室发布的VTE 质控数据填报数据要求设计统计项目，统计数据不小于20个指标的同步显示，并以图表形式进行分析和分类，可多维度进行选择及呈现，包括：出院患者数、出院患者例数、住院患者初始VTE风险评估例数、接受VTE风险评估的住院患者例数、接受任何一次VTE风险评估的出院患者中VTE风险为中/高危的患者例数、接受出血风险评估的住院患者例数、接受任何一次出血风险评估的出院患者中出血风险为高危的患者例数、贵院进行出血风险评估的患者人群为、预防措施实施例数、药物预防实施例数、机械预防实施例数、住院手术人次数、手术患者住院期间新发DVT合并PE的例数、手术患者住院期间新发DVT的例数、手术患者住院期间新发PE的例数、新发DVT的例数、新发PE的例数、新发DVT合并PE的例数、诊断为医院相关性VTE住院患者例数、肺栓塞住院患者死亡例数、VTE住院患者死亡例数。</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医疗事件报告</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专为院内信息系统无法提供2022指标中抗凝/溶栓出血、VTE主因死亡的医院设计，同时支持【综合医院】填报指标中VTE预防治疗相关异常事件的统计。</w:t>
            </w:r>
          </w:p>
          <w:p w:rsidR="00F94D77" w:rsidRPr="00547E47" w:rsidRDefault="00274FD6" w:rsidP="00DE2FB1">
            <w:pPr>
              <w:numPr>
                <w:ilvl w:val="1"/>
                <w:numId w:val="20"/>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VTE不良事件</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支持9种以上上报事件：A.大出血、B.临床相关非大出血、C.小出血是指、D.过敏反应、E.肝功能异常、F.肾功能异常、G.血红蛋白异常、H.血小板异常、I.肢体变化。</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支持6种以上上报事件原因：抗凝预防、抗凝/溶栓治疗、气压泵预防、弹力袜预防、介入取栓、手术取栓</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支持上报事件发生时间。</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支持全部、抗凝出血、溶栓出血筛选。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支持按姓名、住院号、床号查找患者。</w:t>
            </w:r>
          </w:p>
          <w:p w:rsidR="00F94D77" w:rsidRPr="00547E47" w:rsidRDefault="00274FD6" w:rsidP="00DE2FB1">
            <w:pPr>
              <w:numPr>
                <w:ilvl w:val="1"/>
                <w:numId w:val="20"/>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VTE死亡事件</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支持2种以上上报VTE主因死亡事件：DVT主因死亡、PTE（或PE）主因死亡。</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lastRenderedPageBreak/>
              <w:t>患者数据库</w:t>
            </w:r>
          </w:p>
          <w:p w:rsidR="00F94D77" w:rsidRPr="00547E47" w:rsidRDefault="00274FD6" w:rsidP="00DE2FB1">
            <w:pPr>
              <w:numPr>
                <w:ilvl w:val="1"/>
                <w:numId w:val="2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患者列表</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支持查看所有在院、出院患者列表。</w:t>
            </w:r>
          </w:p>
          <w:p w:rsidR="00F94D77" w:rsidRPr="00547E47" w:rsidRDefault="00274FD6" w:rsidP="00DE2FB1">
            <w:pPr>
              <w:numPr>
                <w:ilvl w:val="1"/>
                <w:numId w:val="21"/>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患者详情</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支持显示患者基本信息，如住院号、床号、姓名等。</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以全息图（多维曲线）的形式展示患者VTE防治过程，其中包含患者入院期间13个以上状态的全息图变化数据曲线：其中包括住院进程、VTE风险评估、出血风险评估、机械预防禁忌、基础预防、药物预防、机械预防、超声检查、D-二聚体、静脉超声、肺动脉造影、介入、手术。</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知识库</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文献管理</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支持文档下载和可以根据 中文名称、文献年份和专业 进行搜索。包括：国内外最新的VTE防治指南和规范。</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医护端小助手</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辅助临床医护人员，对患者进行VTE评估、诊断、治疗</w:t>
            </w:r>
          </w:p>
          <w:p w:rsidR="00F94D77" w:rsidRPr="00547E47" w:rsidRDefault="00274FD6" w:rsidP="00DE2FB1">
            <w:pPr>
              <w:numPr>
                <w:ilvl w:val="1"/>
                <w:numId w:val="22"/>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医生的在院患者</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支持列表显示患者VTE风险等级以标签形式显示，同时以红、黄、绿作为颜色区分。</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支持列表显示患者基本信息：床号、姓名、性别、年龄、住院号。</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支持列表显示患者D二聚体升高警示。</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支持列表显示患者当前执行的预防措施，如患者有相关预防禁忌，执行的措施会显示为红色作为警示。</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支持列表显示患者患者预防禁忌图标。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支持列表图标鼠标焦点释意。</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支持显示选中患者的部分诊疗信息：最新的评分信息、最新的D二聚体检验信息、最新的DVT影像报告、最新的PE影像报告、最新的VTE相关医嘱、最新的出血事件记录。</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lastRenderedPageBreak/>
              <w:t>支持点击“查看详情”跳转到后台患者评分记录页面。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支持点击“创建评分”跳转到新建评分页面。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支持以床号、姓名、住院号进行患者查找。</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支持气泡提醒评分未确认条数。</w:t>
            </w:r>
          </w:p>
          <w:p w:rsidR="00F94D77" w:rsidRPr="00547E47" w:rsidRDefault="00274FD6" w:rsidP="00DE2FB1">
            <w:pPr>
              <w:numPr>
                <w:ilvl w:val="1"/>
                <w:numId w:val="22"/>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评分未确认患者</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支持列表显示未确认评分的患者信息：床号、姓名、性别、年龄、住院号、未确认评分的信息来源。</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支持点击“点击确认”跳转评分详情。</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支持以床号、姓名、住院号进行患者查找。</w:t>
            </w:r>
          </w:p>
          <w:p w:rsidR="00F94D77" w:rsidRPr="00547E47" w:rsidRDefault="00274FD6" w:rsidP="00DE2FB1">
            <w:pPr>
              <w:numPr>
                <w:ilvl w:val="1"/>
                <w:numId w:val="22"/>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科室在院患者</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支持列表显示患者VTE风险等级以标签形式显示，同时以红、黄、绿作为颜色区分。</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支持列表显示患者基本信息：床号、姓名、性别、年龄、住院号。</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支持列表显示患者D二聚体升高警示并且提醒去做影像。</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支持列表显示患者当前执行的预防措施，如患者有相关预防禁忌，执行的措施会显示为红色作为警示。</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支持列表显示患者患者预防禁忌图标。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支持列表图标鼠标焦点释意。</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支持显示选中患者的部分诊疗信息：最新的评分信息、最新的D二聚体检验信息、最新的DVT影像报告、最新的PE影像报告、最新的VTE相关医嘱、最新的出血事件记录。</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支持点击“查看详情”跳转到后台患者评分记录页面。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支持点击“创建评分”跳转到新建评分页面。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支持以床号、姓名、住院号进行患者查找。</w:t>
            </w:r>
          </w:p>
          <w:p w:rsidR="00F94D77" w:rsidRPr="00547E47" w:rsidRDefault="00274FD6" w:rsidP="00DE2FB1">
            <w:pPr>
              <w:numPr>
                <w:ilvl w:val="1"/>
                <w:numId w:val="22"/>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科室72小时内出院患者</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支持列表显示患者基本信息：姓名、性别、年龄、住院号、出院时间。</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lastRenderedPageBreak/>
              <w:t>支持点击患者查看详情，跳转评分记录页面。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支持点击患者创建评分，跳转新建评分页面。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支持以床号、姓名、住院号进行患者查找。</w:t>
            </w:r>
          </w:p>
          <w:p w:rsidR="00F94D77" w:rsidRPr="00547E47" w:rsidRDefault="00274FD6" w:rsidP="00DE2FB1">
            <w:pPr>
              <w:numPr>
                <w:ilvl w:val="1"/>
                <w:numId w:val="22"/>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病区在院患者</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支持列表显示患者VTE风险等级以标签形式显示，同时以红、黄、绿作为颜色区分。</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支持列表显示患者基本信息：床号、姓名、性别、年龄、住院号。</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支持列表显示患者D二聚体升高警示。</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支持列表显示患者当前执行的预防措施，如患者有相关预防禁忌，执行的措施会显示为红色作为警示。</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支持列表显示患者患者预防禁忌图标。</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支持列表图标鼠标焦点释意。</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支持显示选中患者的部分诊疗信息：最新的评分信息、最新的D二聚体检验信息、最新的DVT影像报告、最新的PE影像报告、最新的VTE相关医嘱、最新的出血事件记录。</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支持点击“查看详情”跳转到后台患者评分记录页面。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支持点击“创建评分”跳转到新建评分页面。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支持以床号、姓名、住院号进行患者查找。</w:t>
            </w:r>
          </w:p>
          <w:p w:rsidR="00F94D77" w:rsidRPr="00547E47" w:rsidRDefault="00274FD6" w:rsidP="00DE2FB1">
            <w:pPr>
              <w:numPr>
                <w:ilvl w:val="1"/>
                <w:numId w:val="22"/>
              </w:numPr>
              <w:spacing w:after="40" w:line="360" w:lineRule="exact"/>
              <w:jc w:val="left"/>
              <w:outlineLvl w:val="2"/>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病区72小时内出院患者</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支持列表显示患者基本信息：姓名、性别、年龄、住院号、出院时间。</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支持点击患者查看详情，跳转评分记录页面。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支持点击患者创建评分，跳转新建评分页面。</w:t>
            </w:r>
          </w:p>
          <w:p w:rsidR="00F94D77" w:rsidRPr="00547E47" w:rsidRDefault="00274FD6" w:rsidP="00DE2FB1">
            <w:pPr>
              <w:widowControl/>
              <w:spacing w:after="40" w:line="360" w:lineRule="exact"/>
              <w:ind w:firstLineChars="200" w:firstLine="480"/>
              <w:jc w:val="left"/>
              <w:textAlignment w:val="center"/>
              <w:rPr>
                <w:rFonts w:asciiTheme="minorEastAsia" w:eastAsiaTheme="minorEastAsia" w:hAnsiTheme="minorEastAsia"/>
                <w:kern w:val="0"/>
                <w:sz w:val="24"/>
                <w:szCs w:val="24"/>
              </w:rPr>
            </w:pPr>
            <w:r w:rsidRPr="00547E47">
              <w:rPr>
                <w:rFonts w:asciiTheme="minorEastAsia" w:eastAsiaTheme="minorEastAsia" w:hAnsiTheme="minorEastAsia" w:hint="eastAsia"/>
                <w:kern w:val="0"/>
                <w:sz w:val="24"/>
                <w:szCs w:val="24"/>
              </w:rPr>
              <w:t>支持以床号、姓名、住院号进行患者查找。</w:t>
            </w:r>
          </w:p>
          <w:p w:rsidR="00F94D77" w:rsidRPr="00547E47" w:rsidRDefault="00274FD6" w:rsidP="00C44158">
            <w:pPr>
              <w:widowControl/>
              <w:numPr>
                <w:ilvl w:val="1"/>
                <w:numId w:val="3"/>
              </w:numPr>
              <w:spacing w:beforeLines="50" w:after="40" w:line="360" w:lineRule="exact"/>
              <w:ind w:firstLine="0"/>
              <w:jc w:val="left"/>
              <w:textAlignment w:val="center"/>
              <w:outlineLvl w:val="1"/>
              <w:rPr>
                <w:rFonts w:asciiTheme="minorEastAsia" w:eastAsiaTheme="minorEastAsia" w:hAnsiTheme="minorEastAsia"/>
                <w:b/>
                <w:bCs/>
                <w:kern w:val="0"/>
                <w:sz w:val="24"/>
                <w:szCs w:val="24"/>
              </w:rPr>
            </w:pPr>
            <w:r w:rsidRPr="00547E47">
              <w:rPr>
                <w:rFonts w:asciiTheme="minorEastAsia" w:eastAsiaTheme="minorEastAsia" w:hAnsiTheme="minorEastAsia" w:hint="eastAsia"/>
                <w:b/>
                <w:bCs/>
                <w:kern w:val="0"/>
                <w:sz w:val="24"/>
                <w:szCs w:val="24"/>
              </w:rPr>
              <w:t>机械预防执行管理</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机械泵预防</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lastRenderedPageBreak/>
              <w:t>(1)自动追踪预防医嘱</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系统自动执行医嘱匹配，发现有机械泵预防相关医嘱后，系统根据医嘱描述生成相关预防任务，并提醒护士执行。</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(2)机械泵自动同步预防任务</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机械泵开机后根据归属科室等信息，自动同步后台预防任务。</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(3)机械泵一键执行任务</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在机械泵任务列表选择任务一键执行，根据实时医嘱自动调节机器参数。同时医护人员对特殊患者可手动调节参数：执行压力值、充放气间隔、执行时长等。</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(4)后台监控执行任务</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后台展示待执行、执行中、已完成的任务列表，用于监控气压预防医嘱执行状态，可查看患者历史执行记录等详细信息。</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(5)后台监控设备状态</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后台展示设备列表，用于设备的执行状态监控及取用，可查看机器的使用记录等详细信息。</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(6)后台记录预防任务历史记录</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对患者信息、执行开始时间、执行结束时间、执行设备编号、执行内容、执行时患者快照等信息进行统计展示。</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(7)后台统计设备使用情况</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对设备日均使用时长、单次预防人均等待时长、单次预防人均使用时长、医嘱下达规范率、医嘱执行规范率等进行统计及可视化展示。</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(8)设备管理</w:t>
            </w:r>
          </w:p>
          <w:p w:rsidR="00F94D77" w:rsidRPr="00547E47" w:rsidRDefault="00274FD6" w:rsidP="00DE2FB1">
            <w:pPr>
              <w:pStyle w:val="BodyText1I2"/>
              <w:spacing w:after="40" w:line="360" w:lineRule="exact"/>
              <w:ind w:leftChars="0" w:left="0" w:firstLine="480"/>
              <w:rPr>
                <w:rFonts w:asciiTheme="minorEastAsia" w:eastAsiaTheme="minorEastAsia" w:hAnsiTheme="minorEastAsia"/>
              </w:rPr>
            </w:pPr>
            <w:r w:rsidRPr="00547E47">
              <w:rPr>
                <w:rFonts w:asciiTheme="minorEastAsia" w:eastAsiaTheme="minorEastAsia" w:hAnsiTheme="minorEastAsia" w:hint="eastAsia"/>
                <w:sz w:val="24"/>
                <w:szCs w:val="24"/>
              </w:rPr>
              <w:t>对设备进行增删改上下线等操作。</w:t>
            </w:r>
          </w:p>
        </w:tc>
      </w:tr>
      <w:tr w:rsidR="00F94D77" w:rsidRPr="00547E47" w:rsidTr="00804C5E">
        <w:tc>
          <w:tcPr>
            <w:tcW w:w="14142" w:type="dxa"/>
            <w:gridSpan w:val="2"/>
          </w:tcPr>
          <w:p w:rsidR="00F94D77" w:rsidRPr="00547E47" w:rsidRDefault="00274FD6">
            <w:pPr>
              <w:pStyle w:val="BodyText1I2"/>
              <w:spacing w:line="360" w:lineRule="exact"/>
              <w:ind w:leftChars="0" w:left="0" w:firstLineChars="0" w:firstLine="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lastRenderedPageBreak/>
              <w:t>售后服务及其他要求：</w:t>
            </w:r>
          </w:p>
          <w:p w:rsidR="00F94D77" w:rsidRPr="00547E47" w:rsidRDefault="00274FD6">
            <w:pPr>
              <w:pStyle w:val="BodyText1I2"/>
              <w:spacing w:line="360" w:lineRule="exact"/>
              <w:ind w:leftChars="0" w:left="0" w:firstLineChars="0" w:firstLine="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1、系统维护期为2年，起始时间从系统验收合格之日起计算；</w:t>
            </w:r>
          </w:p>
          <w:p w:rsidR="00F94D77" w:rsidRPr="00547E47" w:rsidRDefault="00274FD6">
            <w:pPr>
              <w:pStyle w:val="BodyText1I2"/>
              <w:spacing w:line="360" w:lineRule="exact"/>
              <w:ind w:leftChars="0" w:left="0" w:firstLineChars="0" w:firstLine="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2、维护期内因信息系统本身缺陷造成各种故障由投标人提供技术服务和维修；</w:t>
            </w:r>
          </w:p>
          <w:p w:rsidR="00F94D77" w:rsidRPr="00547E47" w:rsidRDefault="00274FD6">
            <w:pPr>
              <w:pStyle w:val="BodyText1I2"/>
              <w:spacing w:line="360" w:lineRule="exact"/>
              <w:ind w:leftChars="0" w:left="0" w:firstLineChars="0" w:firstLine="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lastRenderedPageBreak/>
              <w:t>3、系统试运行期内及质量保修期内投标人应免费提供与第三方系统的接口开发服务；</w:t>
            </w:r>
          </w:p>
          <w:p w:rsidR="00F94D77" w:rsidRPr="00547E47" w:rsidRDefault="00274FD6">
            <w:pPr>
              <w:pStyle w:val="BodyText1I2"/>
              <w:spacing w:line="360" w:lineRule="exact"/>
              <w:ind w:leftChars="0" w:left="0" w:firstLineChars="0" w:firstLine="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4、系统试运行期内及质量保修期内投标人应免费提供系统软件升级服务；</w:t>
            </w:r>
          </w:p>
          <w:p w:rsidR="00F94D77" w:rsidRPr="00547E47" w:rsidRDefault="00274FD6">
            <w:pPr>
              <w:pStyle w:val="BodyText1I2"/>
              <w:spacing w:line="360" w:lineRule="exact"/>
              <w:ind w:leftChars="0" w:left="0" w:firstLineChars="0" w:firstLine="0"/>
              <w:rPr>
                <w:rFonts w:asciiTheme="minorEastAsia" w:eastAsiaTheme="minorEastAsia" w:hAnsiTheme="minorEastAsia"/>
                <w:sz w:val="24"/>
                <w:szCs w:val="24"/>
              </w:rPr>
            </w:pPr>
            <w:r w:rsidRPr="00547E47">
              <w:rPr>
                <w:rFonts w:asciiTheme="minorEastAsia" w:eastAsiaTheme="minorEastAsia" w:hAnsiTheme="minorEastAsia" w:hint="eastAsia"/>
                <w:sz w:val="24"/>
                <w:szCs w:val="24"/>
              </w:rPr>
              <w:t>5、维保期内投标人应至少提供7*24小时的电话服务。一般故障，在1个小时内解决；若出现系统重大故障，必须3小时内到现场处理。要求最迟24小时内修复。重大故障指：系统无法正常使用、数据丢失等。</w:t>
            </w:r>
          </w:p>
        </w:tc>
      </w:tr>
    </w:tbl>
    <w:p w:rsidR="00F94D77" w:rsidRPr="00547E47" w:rsidRDefault="00F94D77">
      <w:pPr>
        <w:rPr>
          <w:rFonts w:asciiTheme="minorEastAsia" w:eastAsiaTheme="minorEastAsia" w:hAnsiTheme="minorEastAsia"/>
        </w:rPr>
      </w:pPr>
    </w:p>
    <w:sectPr w:rsidR="00F94D77" w:rsidRPr="00547E47" w:rsidSect="00804C5E">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9D4" w:rsidRDefault="009429D4" w:rsidP="00547E47">
      <w:r>
        <w:separator/>
      </w:r>
    </w:p>
  </w:endnote>
  <w:endnote w:type="continuationSeparator" w:id="1">
    <w:p w:rsidR="009429D4" w:rsidRDefault="009429D4" w:rsidP="00547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Light">
    <w:altName w:val="微软雅黑"/>
    <w:charset w:val="86"/>
    <w:family w:val="swiss"/>
    <w:pitch w:val="default"/>
    <w:sig w:usb0="00000000" w:usb1="00000000"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9D4" w:rsidRDefault="009429D4" w:rsidP="00547E47">
      <w:r>
        <w:separator/>
      </w:r>
    </w:p>
  </w:footnote>
  <w:footnote w:type="continuationSeparator" w:id="1">
    <w:p w:rsidR="009429D4" w:rsidRDefault="009429D4" w:rsidP="00547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nsid w:val="00000002"/>
    <w:multiLevelType w:val="multilevel"/>
    <w:tmpl w:val="00000002"/>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b w:val="0"/>
        <w:bCs w:val="0"/>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nsid w:val="00000003"/>
    <w:multiLevelType w:val="multilevel"/>
    <w:tmpl w:val="00000003"/>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nsid w:val="00000004"/>
    <w:multiLevelType w:val="multilevel"/>
    <w:tmpl w:val="00000004"/>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4">
    <w:nsid w:val="00000005"/>
    <w:multiLevelType w:val="multilevel"/>
    <w:tmpl w:val="00000005"/>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nsid w:val="00000006"/>
    <w:multiLevelType w:val="multilevel"/>
    <w:tmpl w:val="00000006"/>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6">
    <w:nsid w:val="00000007"/>
    <w:multiLevelType w:val="multilevel"/>
    <w:tmpl w:val="00000007"/>
    <w:lvl w:ilvl="0">
      <w:start w:val="1"/>
      <w:numFmt w:val="chineseCounting"/>
      <w:suff w:val="nothing"/>
      <w:lvlText w:val="%1、"/>
      <w:lvlJc w:val="left"/>
      <w:pPr>
        <w:ind w:left="0" w:firstLine="420"/>
      </w:pPr>
      <w:rPr>
        <w:rFonts w:hint="eastAsia"/>
        <w:b/>
        <w:bCs/>
        <w:sz w:val="21"/>
        <w:szCs w:val="21"/>
      </w:rPr>
    </w:lvl>
    <w:lvl w:ilvl="1">
      <w:start w:val="1"/>
      <w:numFmt w:val="decimal"/>
      <w:suff w:val="nothing"/>
      <w:lvlText w:val="%2．"/>
      <w:lvlJc w:val="left"/>
      <w:pPr>
        <w:ind w:left="0" w:firstLine="420"/>
      </w:pPr>
      <w:rPr>
        <w:rFonts w:hint="eastAsia"/>
        <w:b/>
        <w:bCs/>
        <w:sz w:val="21"/>
        <w:szCs w:val="21"/>
      </w:rPr>
    </w:lvl>
    <w:lvl w:ilvl="2">
      <w:start w:val="1"/>
      <w:numFmt w:val="decimal"/>
      <w:suff w:val="nothing"/>
      <w:lvlText w:val="（%3）"/>
      <w:lvlJc w:val="left"/>
      <w:pPr>
        <w:ind w:left="0" w:firstLine="420"/>
      </w:pPr>
      <w:rPr>
        <w:rFonts w:hint="eastAsia"/>
        <w:b/>
        <w:bCs/>
        <w:sz w:val="21"/>
        <w:szCs w:val="21"/>
      </w:rPr>
    </w:lvl>
    <w:lvl w:ilvl="3">
      <w:start w:val="1"/>
      <w:numFmt w:val="decimalEnclosedCircleChinese"/>
      <w:suff w:val="nothing"/>
      <w:lvlText w:val="%4"/>
      <w:lvlJc w:val="left"/>
      <w:pPr>
        <w:ind w:left="0" w:firstLine="420"/>
      </w:pPr>
      <w:rPr>
        <w:rFonts w:hint="eastAsia"/>
        <w:b/>
        <w:bCs/>
        <w:sz w:val="21"/>
        <w:szCs w:val="21"/>
      </w:rPr>
    </w:lvl>
    <w:lvl w:ilvl="4">
      <w:start w:val="1"/>
      <w:numFmt w:val="decimal"/>
      <w:suff w:val="nothing"/>
      <w:lvlText w:val="%5）"/>
      <w:lvlJc w:val="left"/>
      <w:pPr>
        <w:ind w:left="0" w:firstLine="420"/>
      </w:pPr>
      <w:rPr>
        <w:rFonts w:hint="eastAsia"/>
        <w:b/>
        <w:bCs/>
        <w:sz w:val="21"/>
        <w:szCs w:val="21"/>
      </w:rPr>
    </w:lvl>
    <w:lvl w:ilvl="5">
      <w:start w:val="1"/>
      <w:numFmt w:val="lowerLetter"/>
      <w:suff w:val="nothing"/>
      <w:lvlText w:val="%6．"/>
      <w:lvlJc w:val="left"/>
      <w:pPr>
        <w:ind w:left="0" w:firstLine="420"/>
      </w:pPr>
      <w:rPr>
        <w:rFonts w:hint="eastAsia"/>
        <w:b/>
        <w:bCs/>
        <w:sz w:val="21"/>
        <w:szCs w:val="21"/>
      </w:rPr>
    </w:lvl>
    <w:lvl w:ilvl="6">
      <w:start w:val="1"/>
      <w:numFmt w:val="lowerLetter"/>
      <w:suff w:val="nothing"/>
      <w:lvlText w:val="%7）"/>
      <w:lvlJc w:val="left"/>
      <w:pPr>
        <w:ind w:left="0" w:firstLine="420"/>
      </w:pPr>
      <w:rPr>
        <w:rFonts w:hint="eastAsia"/>
        <w:b/>
        <w:bCs/>
        <w:sz w:val="21"/>
        <w:szCs w:val="21"/>
      </w:rPr>
    </w:lvl>
    <w:lvl w:ilvl="7">
      <w:start w:val="1"/>
      <w:numFmt w:val="lowerRoman"/>
      <w:suff w:val="nothing"/>
      <w:lvlText w:val="%8．"/>
      <w:lvlJc w:val="left"/>
      <w:pPr>
        <w:ind w:left="0" w:firstLine="420"/>
      </w:pPr>
      <w:rPr>
        <w:rFonts w:hint="eastAsia"/>
        <w:b/>
        <w:bCs/>
        <w:sz w:val="21"/>
        <w:szCs w:val="21"/>
      </w:rPr>
    </w:lvl>
    <w:lvl w:ilvl="8">
      <w:start w:val="1"/>
      <w:numFmt w:val="lowerRoman"/>
      <w:suff w:val="nothing"/>
      <w:lvlText w:val="%9）"/>
      <w:lvlJc w:val="left"/>
      <w:pPr>
        <w:ind w:left="0" w:firstLine="420"/>
      </w:pPr>
      <w:rPr>
        <w:rFonts w:hint="eastAsia"/>
        <w:b/>
        <w:bCs/>
        <w:sz w:val="21"/>
        <w:szCs w:val="21"/>
      </w:rPr>
    </w:lvl>
  </w:abstractNum>
  <w:abstractNum w:abstractNumId="7">
    <w:nsid w:val="00000008"/>
    <w:multiLevelType w:val="multilevel"/>
    <w:tmpl w:val="00000008"/>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nsid w:val="0000000A"/>
    <w:multiLevelType w:val="multilevel"/>
    <w:tmpl w:val="0000000A"/>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9">
    <w:nsid w:val="0000000B"/>
    <w:multiLevelType w:val="multilevel"/>
    <w:tmpl w:val="0000000B"/>
    <w:lvl w:ilvl="0">
      <w:start w:val="1"/>
      <w:numFmt w:val="decimal"/>
      <w:suff w:val="space"/>
      <w:lvlText w:val="%1."/>
      <w:lvlJc w:val="left"/>
      <w:pPr>
        <w:ind w:left="425" w:hanging="425"/>
      </w:pPr>
      <w:rPr>
        <w:rFonts w:ascii="Times New Roman" w:hAnsi="Times New Roman" w:cs="Times New Roman" w:hint="default"/>
        <w:b w:val="0"/>
        <w:bCs w:val="0"/>
      </w:rPr>
    </w:lvl>
    <w:lvl w:ilvl="1">
      <w:start w:val="1"/>
      <w:numFmt w:val="decimal"/>
      <w:lvlText w:val="(%2)"/>
      <w:lvlJc w:val="left"/>
      <w:pPr>
        <w:tabs>
          <w:tab w:val="left" w:pos="840"/>
        </w:tabs>
        <w:ind w:left="840" w:hanging="420"/>
      </w:pPr>
      <w:rPr>
        <w:rFonts w:ascii="宋体" w:eastAsia="宋体" w:hAnsi="宋体" w:cs="宋体" w:hint="default"/>
        <w:b w:val="0"/>
        <w:bCs w:val="0"/>
        <w:sz w:val="24"/>
        <w:szCs w:val="24"/>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0">
    <w:nsid w:val="0000000D"/>
    <w:multiLevelType w:val="multilevel"/>
    <w:tmpl w:val="0000000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1">
    <w:nsid w:val="0000000E"/>
    <w:multiLevelType w:val="multilevel"/>
    <w:tmpl w:val="0000000E"/>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2">
    <w:nsid w:val="0000000F"/>
    <w:multiLevelType w:val="multilevel"/>
    <w:tmpl w:val="0000000F"/>
    <w:lvl w:ilvl="0">
      <w:start w:val="1"/>
      <w:numFmt w:val="decimal"/>
      <w:lvlText w:val="%1."/>
      <w:lvlJc w:val="left"/>
      <w:pPr>
        <w:ind w:left="425" w:hanging="425"/>
      </w:pPr>
      <w:rPr>
        <w:rFonts w:hint="default"/>
        <w:b w:val="0"/>
        <w:bCs w:val="0"/>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3">
    <w:nsid w:val="00000010"/>
    <w:multiLevelType w:val="multilevel"/>
    <w:tmpl w:val="00000010"/>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4">
    <w:nsid w:val="00000011"/>
    <w:multiLevelType w:val="multilevel"/>
    <w:tmpl w:val="00000011"/>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5">
    <w:nsid w:val="00000012"/>
    <w:multiLevelType w:val="multilevel"/>
    <w:tmpl w:val="00000012"/>
    <w:lvl w:ilvl="0">
      <w:start w:val="1"/>
      <w:numFmt w:val="decimal"/>
      <w:lvlText w:val="%1、"/>
      <w:lvlJc w:val="left"/>
      <w:pPr>
        <w:ind w:left="645" w:hanging="425"/>
      </w:pPr>
      <w:rPr>
        <w:rFonts w:hint="default"/>
        <w:color w:val="00000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00000013"/>
    <w:multiLevelType w:val="multilevel"/>
    <w:tmpl w:val="00000013"/>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7">
    <w:nsid w:val="00000014"/>
    <w:multiLevelType w:val="multilevel"/>
    <w:tmpl w:val="00000014"/>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8">
    <w:nsid w:val="00000015"/>
    <w:multiLevelType w:val="multilevel"/>
    <w:tmpl w:val="00000015"/>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9">
    <w:nsid w:val="00000018"/>
    <w:multiLevelType w:val="multilevel"/>
    <w:tmpl w:val="00000018"/>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0">
    <w:nsid w:val="00000019"/>
    <w:multiLevelType w:val="multilevel"/>
    <w:tmpl w:val="00000019"/>
    <w:lvl w:ilvl="0">
      <w:start w:val="1"/>
      <w:numFmt w:val="decimal"/>
      <w:lvlText w:val="%1)"/>
      <w:lvlJc w:val="left"/>
      <w:pPr>
        <w:ind w:left="1007" w:hanging="440"/>
      </w:pPr>
    </w:lvl>
    <w:lvl w:ilvl="1">
      <w:start w:val="1"/>
      <w:numFmt w:val="lowerLetter"/>
      <w:lvlText w:val="%2)"/>
      <w:lvlJc w:val="left"/>
      <w:pPr>
        <w:ind w:left="1447" w:hanging="440"/>
      </w:pPr>
    </w:lvl>
    <w:lvl w:ilvl="2">
      <w:start w:val="1"/>
      <w:numFmt w:val="lowerRoman"/>
      <w:lvlText w:val="%3."/>
      <w:lvlJc w:val="right"/>
      <w:pPr>
        <w:ind w:left="1887" w:hanging="440"/>
      </w:pPr>
    </w:lvl>
    <w:lvl w:ilvl="3">
      <w:start w:val="1"/>
      <w:numFmt w:val="decimal"/>
      <w:lvlText w:val="%4."/>
      <w:lvlJc w:val="left"/>
      <w:pPr>
        <w:ind w:left="2327" w:hanging="440"/>
      </w:pPr>
    </w:lvl>
    <w:lvl w:ilvl="4">
      <w:start w:val="1"/>
      <w:numFmt w:val="lowerLetter"/>
      <w:lvlText w:val="%5)"/>
      <w:lvlJc w:val="left"/>
      <w:pPr>
        <w:ind w:left="2767" w:hanging="440"/>
      </w:pPr>
    </w:lvl>
    <w:lvl w:ilvl="5">
      <w:start w:val="1"/>
      <w:numFmt w:val="lowerRoman"/>
      <w:lvlText w:val="%6."/>
      <w:lvlJc w:val="right"/>
      <w:pPr>
        <w:ind w:left="3207" w:hanging="440"/>
      </w:pPr>
    </w:lvl>
    <w:lvl w:ilvl="6">
      <w:start w:val="1"/>
      <w:numFmt w:val="decimal"/>
      <w:lvlText w:val="%7."/>
      <w:lvlJc w:val="left"/>
      <w:pPr>
        <w:ind w:left="3647" w:hanging="440"/>
      </w:pPr>
    </w:lvl>
    <w:lvl w:ilvl="7">
      <w:start w:val="1"/>
      <w:numFmt w:val="lowerLetter"/>
      <w:lvlText w:val="%8)"/>
      <w:lvlJc w:val="left"/>
      <w:pPr>
        <w:ind w:left="4087" w:hanging="440"/>
      </w:pPr>
    </w:lvl>
    <w:lvl w:ilvl="8">
      <w:start w:val="1"/>
      <w:numFmt w:val="lowerRoman"/>
      <w:lvlText w:val="%9."/>
      <w:lvlJc w:val="right"/>
      <w:pPr>
        <w:ind w:left="4527" w:hanging="440"/>
      </w:pPr>
    </w:lvl>
  </w:abstractNum>
  <w:abstractNum w:abstractNumId="21">
    <w:nsid w:val="6424014C"/>
    <w:multiLevelType w:val="hybridMultilevel"/>
    <w:tmpl w:val="355A0448"/>
    <w:lvl w:ilvl="0" w:tplc="4E62651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082A75"/>
    <w:multiLevelType w:val="hybridMultilevel"/>
    <w:tmpl w:val="B2B8D4E4"/>
    <w:lvl w:ilvl="0" w:tplc="A8F2CF48">
      <w:start w:val="2"/>
      <w:numFmt w:val="decimal"/>
      <w:lvlText w:val="%1、"/>
      <w:lvlJc w:val="left"/>
      <w:pPr>
        <w:ind w:left="360" w:hanging="360"/>
      </w:pPr>
      <w:rPr>
        <w:rFonts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260387"/>
    <w:multiLevelType w:val="multilevel"/>
    <w:tmpl w:val="00000000"/>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15"/>
  </w:num>
  <w:num w:numId="2">
    <w:abstractNumId w:val="20"/>
  </w:num>
  <w:num w:numId="3">
    <w:abstractNumId w:val="6"/>
  </w:num>
  <w:num w:numId="4">
    <w:abstractNumId w:val="16"/>
  </w:num>
  <w:num w:numId="5">
    <w:abstractNumId w:val="12"/>
  </w:num>
  <w:num w:numId="6">
    <w:abstractNumId w:val="1"/>
  </w:num>
  <w:num w:numId="7">
    <w:abstractNumId w:val="5"/>
  </w:num>
  <w:num w:numId="8">
    <w:abstractNumId w:val="9"/>
  </w:num>
  <w:num w:numId="9">
    <w:abstractNumId w:val="2"/>
  </w:num>
  <w:num w:numId="10">
    <w:abstractNumId w:val="17"/>
  </w:num>
  <w:num w:numId="11">
    <w:abstractNumId w:val="18"/>
  </w:num>
  <w:num w:numId="12">
    <w:abstractNumId w:val="0"/>
  </w:num>
  <w:num w:numId="13">
    <w:abstractNumId w:val="23"/>
  </w:num>
  <w:num w:numId="14">
    <w:abstractNumId w:val="7"/>
  </w:num>
  <w:num w:numId="15">
    <w:abstractNumId w:val="19"/>
  </w:num>
  <w:num w:numId="16">
    <w:abstractNumId w:val="3"/>
  </w:num>
  <w:num w:numId="17">
    <w:abstractNumId w:val="14"/>
  </w:num>
  <w:num w:numId="18">
    <w:abstractNumId w:val="11"/>
  </w:num>
  <w:num w:numId="19">
    <w:abstractNumId w:val="4"/>
  </w:num>
  <w:num w:numId="20">
    <w:abstractNumId w:val="8"/>
  </w:num>
  <w:num w:numId="21">
    <w:abstractNumId w:val="13"/>
  </w:num>
  <w:num w:numId="22">
    <w:abstractNumId w:val="10"/>
  </w:num>
  <w:num w:numId="23">
    <w:abstractNumId w:val="2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FE8F3C5"/>
    <w:rsid w:val="AF3F47C8"/>
    <w:rsid w:val="AF77F29B"/>
    <w:rsid w:val="BDDEE3D5"/>
    <w:rsid w:val="C9DD4AA8"/>
    <w:rsid w:val="CF7B78E8"/>
    <w:rsid w:val="CFC5D984"/>
    <w:rsid w:val="D9BF6CEF"/>
    <w:rsid w:val="DBEF3233"/>
    <w:rsid w:val="E2BF365B"/>
    <w:rsid w:val="E4D7FA0E"/>
    <w:rsid w:val="E9E3EA03"/>
    <w:rsid w:val="EEDE68C5"/>
    <w:rsid w:val="EEF7B8CC"/>
    <w:rsid w:val="EFBBEC88"/>
    <w:rsid w:val="F3FDB4A1"/>
    <w:rsid w:val="F5454697"/>
    <w:rsid w:val="FA73A12A"/>
    <w:rsid w:val="FAEF694B"/>
    <w:rsid w:val="FD6F001D"/>
    <w:rsid w:val="FDBF9EF8"/>
    <w:rsid w:val="FEF2F052"/>
    <w:rsid w:val="FFBF2E03"/>
    <w:rsid w:val="00050D36"/>
    <w:rsid w:val="00161D7F"/>
    <w:rsid w:val="0018540F"/>
    <w:rsid w:val="00204EDA"/>
    <w:rsid w:val="00274FD6"/>
    <w:rsid w:val="00353B1E"/>
    <w:rsid w:val="00404FE2"/>
    <w:rsid w:val="00547E47"/>
    <w:rsid w:val="0060727A"/>
    <w:rsid w:val="0062253D"/>
    <w:rsid w:val="00804C5E"/>
    <w:rsid w:val="008149DB"/>
    <w:rsid w:val="00880437"/>
    <w:rsid w:val="008D63D0"/>
    <w:rsid w:val="009429D4"/>
    <w:rsid w:val="009F2869"/>
    <w:rsid w:val="00A35AA2"/>
    <w:rsid w:val="00A97A33"/>
    <w:rsid w:val="00B954B8"/>
    <w:rsid w:val="00BE318B"/>
    <w:rsid w:val="00C23E0B"/>
    <w:rsid w:val="00C44158"/>
    <w:rsid w:val="00D72D65"/>
    <w:rsid w:val="00DC174A"/>
    <w:rsid w:val="00DE2FB1"/>
    <w:rsid w:val="00ED0313"/>
    <w:rsid w:val="00EE7ACF"/>
    <w:rsid w:val="00F86C55"/>
    <w:rsid w:val="00F94D77"/>
    <w:rsid w:val="0FE8F3C5"/>
    <w:rsid w:val="1FF73326"/>
    <w:rsid w:val="1FFF032F"/>
    <w:rsid w:val="357D1364"/>
    <w:rsid w:val="3B77E032"/>
    <w:rsid w:val="3F5E5675"/>
    <w:rsid w:val="55BFA8CD"/>
    <w:rsid w:val="57F34765"/>
    <w:rsid w:val="5BDA3705"/>
    <w:rsid w:val="5EFF7F9A"/>
    <w:rsid w:val="61FD03BF"/>
    <w:rsid w:val="6F3ED556"/>
    <w:rsid w:val="6FF78C2B"/>
    <w:rsid w:val="7131117A"/>
    <w:rsid w:val="75FE9D36"/>
    <w:rsid w:val="777CD658"/>
    <w:rsid w:val="77FFB479"/>
    <w:rsid w:val="785C94F9"/>
    <w:rsid w:val="7BFD3D19"/>
    <w:rsid w:val="7BFDAC4E"/>
    <w:rsid w:val="7D9F26E7"/>
    <w:rsid w:val="7EFDC55F"/>
    <w:rsid w:val="7F57E1DF"/>
    <w:rsid w:val="7F8985D4"/>
    <w:rsid w:val="7F9B6664"/>
    <w:rsid w:val="7FDC64B8"/>
    <w:rsid w:val="7FFBDF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D77"/>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D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I2">
    <w:name w:val="BodyText1I2"/>
    <w:basedOn w:val="BodyTextIndent"/>
    <w:next w:val="a"/>
    <w:qFormat/>
    <w:rsid w:val="00F94D77"/>
    <w:pPr>
      <w:ind w:firstLineChars="200" w:firstLine="420"/>
    </w:pPr>
  </w:style>
  <w:style w:type="paragraph" w:customStyle="1" w:styleId="BodyTextIndent">
    <w:name w:val="BodyTextIndent"/>
    <w:basedOn w:val="a"/>
    <w:qFormat/>
    <w:rsid w:val="00F94D77"/>
    <w:pPr>
      <w:spacing w:after="120"/>
      <w:ind w:leftChars="200" w:left="420"/>
    </w:pPr>
  </w:style>
  <w:style w:type="paragraph" w:styleId="a4">
    <w:name w:val="List Paragraph"/>
    <w:basedOn w:val="a"/>
    <w:uiPriority w:val="99"/>
    <w:qFormat/>
    <w:rsid w:val="00F94D77"/>
    <w:pPr>
      <w:ind w:firstLineChars="200" w:firstLine="420"/>
    </w:pPr>
  </w:style>
  <w:style w:type="paragraph" w:styleId="a5">
    <w:name w:val="header"/>
    <w:basedOn w:val="a"/>
    <w:link w:val="Char"/>
    <w:rsid w:val="00547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47E47"/>
    <w:rPr>
      <w:rFonts w:ascii="Calibri" w:eastAsia="宋体" w:hAnsi="Calibri" w:cs="宋体"/>
      <w:kern w:val="2"/>
      <w:sz w:val="18"/>
      <w:szCs w:val="18"/>
    </w:rPr>
  </w:style>
  <w:style w:type="paragraph" w:styleId="a6">
    <w:name w:val="footer"/>
    <w:basedOn w:val="a"/>
    <w:link w:val="Char0"/>
    <w:rsid w:val="00547E47"/>
    <w:pPr>
      <w:tabs>
        <w:tab w:val="center" w:pos="4153"/>
        <w:tab w:val="right" w:pos="8306"/>
      </w:tabs>
      <w:snapToGrid w:val="0"/>
      <w:jc w:val="left"/>
    </w:pPr>
    <w:rPr>
      <w:sz w:val="18"/>
      <w:szCs w:val="18"/>
    </w:rPr>
  </w:style>
  <w:style w:type="character" w:customStyle="1" w:styleId="Char0">
    <w:name w:val="页脚 Char"/>
    <w:basedOn w:val="a0"/>
    <w:link w:val="a6"/>
    <w:rsid w:val="00547E47"/>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17</Pages>
  <Words>1498</Words>
  <Characters>8539</Characters>
  <Application>Microsoft Office Word</Application>
  <DocSecurity>0</DocSecurity>
  <Lines>71</Lines>
  <Paragraphs>20</Paragraphs>
  <ScaleCrop>false</ScaleCrop>
  <Company>Microsoft</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钟军</dc:creator>
  <cp:lastModifiedBy>石思恒</cp:lastModifiedBy>
  <cp:revision>20</cp:revision>
  <dcterms:created xsi:type="dcterms:W3CDTF">2024-12-19T10:44:00Z</dcterms:created>
  <dcterms:modified xsi:type="dcterms:W3CDTF">2025-02-12T01:12:00Z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ACC37CDC95886A67193762671E4C6F7D_41</vt:lpwstr>
  </property>
</Properties>
</file>