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76B97">
      <w:pPr>
        <w:spacing w:before="156" w:beforeLines="5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附件1</w:t>
      </w:r>
    </w:p>
    <w:tbl>
      <w:tblPr>
        <w:tblStyle w:val="4"/>
        <w:tblW w:w="10500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517"/>
        <w:gridCol w:w="7300"/>
        <w:gridCol w:w="1017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517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7300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1017" w:type="dxa"/>
          </w:tcPr>
          <w:p w14:paraId="7EA6F54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6" w:hRule="atLeast"/>
        </w:trPr>
        <w:tc>
          <w:tcPr>
            <w:tcW w:w="666" w:type="dxa"/>
          </w:tcPr>
          <w:p w14:paraId="0BE7B4AC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517" w:type="dxa"/>
          </w:tcPr>
          <w:p w14:paraId="4E7FDB2B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电动手术床</w:t>
            </w:r>
          </w:p>
        </w:tc>
        <w:tc>
          <w:tcPr>
            <w:tcW w:w="7300" w:type="dxa"/>
          </w:tcPr>
          <w:p w14:paraId="7D9458BD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1.骨科专用手术床1张，神经外科专用手术床1张，腹腔镜专用手术床1张，泌尿科专用手术床1张。</w:t>
            </w:r>
          </w:p>
          <w:p w14:paraId="1A4AD25D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2.需具备电动调节功能，能够轻松调整患者的体位，满足各种手术及麻醉操作的需求。同时，应具备安全锁定装置，确保手术过程中患者的稳定与安全。</w:t>
            </w:r>
          </w:p>
          <w:p w14:paraId="4833614F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3.兼容性：需与现有的麻醉设备、监护设备等无缝对接，确保手术过程中的数据同步和通信畅通。</w:t>
            </w:r>
          </w:p>
          <w:p w14:paraId="159AA455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4.舒适性：需具备优良的床垫材质，能够减轻患者长时间躺卧带来的不适。</w:t>
            </w:r>
          </w:p>
          <w:p w14:paraId="2D45B36B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5.耐用性：采用高质量的材料制造，具备良好的耐久性和抗腐蚀性。</w:t>
            </w:r>
          </w:p>
          <w:p w14:paraId="4E640AC2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. 电动调节功能：电动手术床通过电机驱动，可以实现床面的升降、前后倾斜、左右倾斜以及背板、腿板等多种角度的调节。这种电动调节功能使得医护人员可以根据手术需求，轻松调整患者的体位。</w:t>
            </w:r>
            <w:r>
              <w:rPr>
                <w:rFonts w:hint="eastAsia" w:ascii="宋体" w:hAnsi="宋体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. 多功能性与灵活性：电动手术床设计有多种功能，如T型槽设计、五节或六节床身设计等，可以满足不同手术体位的需求。同时，床面材料多采用医用级不锈钢或高分子复合材料，易于清洁和消毒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</w:rPr>
              <w:t>. 安全性与稳定性：电动手术床在设计和制造过程中，充分考虑了安全性和稳定性。床体结构坚固，承重能力强，且配备有安全锁止机构和过载保护装置，确保在手术过程中不会出现意外情况。此外，床面四周通常配备有防撞护栏，以保护患者和医护人员免受意外伤害。</w:t>
            </w:r>
            <w:r>
              <w:rPr>
                <w:rFonts w:hint="eastAsia" w:ascii="宋体" w:hAnsi="宋体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Times New Roman"/>
                <w:szCs w:val="21"/>
              </w:rPr>
              <w:t>. 智能化与便捷性：现代电动手术床往往配备有智能控制系统，可以存储多种手术体位设置，方便医护人员快速调用。同时，控制系统通常采用触摸屏或遥控器操作，界面友好，易于上手。</w:t>
            </w:r>
            <w:r>
              <w:rPr>
                <w:rFonts w:hint="eastAsia" w:ascii="宋体" w:hAnsi="宋体" w:eastAsia="宋体" w:cs="Times New Roman"/>
                <w:szCs w:val="21"/>
              </w:rPr>
              <w:br w:type="textWrapping"/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szCs w:val="21"/>
              </w:rPr>
              <w:t>. 扩展性：支持模块化设计，可以根据医院的具体需求进行扩展和升级。</w:t>
            </w:r>
          </w:p>
        </w:tc>
        <w:tc>
          <w:tcPr>
            <w:tcW w:w="1017" w:type="dxa"/>
          </w:tcPr>
          <w:p w14:paraId="356E78C6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6张，共140万元。</w:t>
            </w:r>
          </w:p>
        </w:tc>
      </w:tr>
      <w:tr w14:paraId="1511B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666" w:type="dxa"/>
          </w:tcPr>
          <w:p w14:paraId="650A65A7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1517" w:type="dxa"/>
          </w:tcPr>
          <w:p w14:paraId="2203C4C4"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深部B超探头</w:t>
            </w:r>
          </w:p>
        </w:tc>
        <w:tc>
          <w:tcPr>
            <w:tcW w:w="7300" w:type="dxa"/>
          </w:tcPr>
          <w:p w14:paraId="11BE8FA4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1. 高分辨率成像：要求探头能够高分辨率地显示深部组织结构，确保图像清晰、细节丰富，便于医生准确诊断。</w:t>
            </w:r>
          </w:p>
          <w:p w14:paraId="01D139F2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2. 深部穿透能力：应具备足够的超声波穿透深度，能够清晰显示深部器官或组织的结构特征。</w:t>
            </w:r>
          </w:p>
          <w:p w14:paraId="43564E5C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. 多频率选择：为适应不同深度和组织的检查需求，探头应支持多种频率选择，如3.5MHz、5MHz等，以确保最佳的图像质量。</w:t>
            </w:r>
          </w:p>
          <w:p w14:paraId="0170BE23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. 兼容性：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须</w:t>
            </w:r>
            <w:r>
              <w:rPr>
                <w:rFonts w:hint="eastAsia" w:ascii="宋体" w:hAnsi="宋体" w:eastAsia="宋体" w:cs="Times New Roman"/>
                <w:szCs w:val="21"/>
              </w:rPr>
              <w:t>与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现有</w:t>
            </w:r>
            <w:r>
              <w:rPr>
                <w:rFonts w:hint="eastAsia" w:ascii="宋体" w:hAnsi="宋体" w:eastAsia="宋体" w:cs="Times New Roman"/>
                <w:szCs w:val="21"/>
              </w:rPr>
              <w:t>B超设备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苏州富士M-Turbo）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兼容。 </w:t>
            </w:r>
          </w:p>
          <w:p w14:paraId="13C9D9DC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. 耐用性：探头应具备高强度、耐腐蚀、易清洁等特性，确保在长期使用中保持良好的性能。</w:t>
            </w:r>
          </w:p>
          <w:p w14:paraId="3FDA080C"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安全性：应符合相关医疗安全标准，确保在检查过程中对患者无伤害。</w:t>
            </w:r>
          </w:p>
          <w:p w14:paraId="2745BBDF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.易操作性：探头设计应便于医生操作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</w:tc>
        <w:tc>
          <w:tcPr>
            <w:tcW w:w="1017" w:type="dxa"/>
          </w:tcPr>
          <w:p w14:paraId="7857F7D8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1把，共15万元。</w:t>
            </w:r>
          </w:p>
        </w:tc>
      </w:tr>
      <w:tr w14:paraId="5AE3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473E3EC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1517" w:type="dxa"/>
          </w:tcPr>
          <w:p w14:paraId="19B4A7CF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染色机</w:t>
            </w:r>
          </w:p>
        </w:tc>
        <w:tc>
          <w:tcPr>
            <w:tcW w:w="7300" w:type="dxa"/>
          </w:tcPr>
          <w:p w14:paraId="3C9FCE2D"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Times New Roman"/>
                <w:szCs w:val="21"/>
              </w:rPr>
              <w:t>适用于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Cs w:val="21"/>
              </w:rPr>
              <w:t>抗酸染色和革兰氏染色， 双通道染液管路，只需切换染色程序无需更换染液即可满足不同方法的染色需求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3DD139A7"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、触摸屏操作界面简洁易用，染色进度条实时显示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6C64F08D"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、玻片架分为两层 ，采用铁氟龙镀层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Times New Roman"/>
                <w:szCs w:val="21"/>
              </w:rPr>
              <w:t>每种试剂有单独输送管路，泵和喷嘴，避免交叉污染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szCs w:val="21"/>
              </w:rPr>
              <w:t>染色完成时，染片己经过离心干燥，可用于镜检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277539EC"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Cs w:val="21"/>
              </w:rPr>
              <w:t>、通过调节染液注入时间，染色等待时间调节染色程序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59FCD221">
            <w:pPr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szCs w:val="21"/>
              </w:rPr>
              <w:t>、每片用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不超过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Cs w:val="21"/>
              </w:rPr>
              <w:t>mL 染液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4C10945C"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szCs w:val="21"/>
              </w:rPr>
              <w:t>、抗酸染色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60 片/小时，革兰氏染色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Times New Roman"/>
                <w:szCs w:val="21"/>
              </w:rPr>
              <w:t>200 片/小时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187831D7"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、染色机带有自动清洗功能，无需人工清洗，清洗液为95%酒精， 具有清洗管路和杀菌作用，可根据个人需要选择开启或者关闭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1F91B3FF">
            <w:pPr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具备安全锁功能</w:t>
            </w:r>
            <w:r>
              <w:rPr>
                <w:rFonts w:hint="eastAsia" w:ascii="宋体" w:hAnsi="宋体" w:eastAsia="宋体" w:cs="Times New Roman"/>
                <w:szCs w:val="21"/>
              </w:rPr>
              <w:t>，仪器运行时自动开启电子锁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 w14:paraId="45D47833">
            <w:pPr>
              <w:rPr>
                <w:rFonts w:hint="eastAsia" w:ascii="微软雅黑" w:hAnsi="微软雅黑" w:eastAsia="宋体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9、具备</w:t>
            </w:r>
            <w:r>
              <w:rPr>
                <w:rFonts w:hint="eastAsia" w:ascii="宋体" w:hAnsi="宋体" w:eastAsia="宋体" w:cs="Times New Roman"/>
                <w:szCs w:val="21"/>
              </w:rPr>
              <w:t>液量报警和故障报警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功能。</w:t>
            </w:r>
          </w:p>
        </w:tc>
        <w:tc>
          <w:tcPr>
            <w:tcW w:w="1017" w:type="dxa"/>
          </w:tcPr>
          <w:p w14:paraId="7F3A8EEC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1台，共15万元。</w:t>
            </w:r>
          </w:p>
        </w:tc>
      </w:tr>
      <w:tr w14:paraId="4DED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3AE50B4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1517" w:type="dxa"/>
          </w:tcPr>
          <w:p w14:paraId="3DA66057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全自动抗酸杆菌涂片分析系统</w:t>
            </w:r>
          </w:p>
        </w:tc>
        <w:tc>
          <w:tcPr>
            <w:tcW w:w="7300" w:type="dxa"/>
          </w:tcPr>
          <w:p w14:paraId="22950F14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Cs w:val="21"/>
              </w:rPr>
              <w:t>用于抗酸杆菌涂片判读，不限于痰液涂片，包括脑脊液、胸腹水、关节液；一键式操作完成自动进样、编号、滴油、聚焦、分析判读出报告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594A997C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2、具备</w:t>
            </w:r>
            <w:r>
              <w:rPr>
                <w:rFonts w:hint="eastAsia" w:ascii="宋体" w:hAnsi="宋体" w:eastAsia="宋体" w:cs="宋体"/>
                <w:szCs w:val="21"/>
              </w:rPr>
              <w:t>图像存储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可供选择JPEG、TIFF等模式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3730CC19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3、LED光源（曝光≥50000小时）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6D1600C8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具备至少</w:t>
            </w:r>
            <w:r>
              <w:rPr>
                <w:rFonts w:hint="eastAsia" w:ascii="宋体" w:hAnsi="宋体" w:eastAsia="宋体" w:cs="宋体"/>
                <w:szCs w:val="21"/>
              </w:rPr>
              <w:t>物镜40倍镜头、60倍镜头;100倍油镜(oil)半复平场消色差,可选配10倍镜头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1766282D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5、具有显微镜视野图像采集、设置、调节功能；显示涂片、信息存储、编辑和终端打印功能；检测目标辨认标注、分级统计功能；历史信息查阅、数据分析备份功能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50C77724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、可对历史结果统计学分析，包括时间，年龄，初检/复检,操作者,样本类型,样本来源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2B395490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、扫描过程全自动化，实现自动控制，自动滴油，自动聚焦功能，扫描采集视野为有效图像视野，视野自动聚焦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共振聚焦每帧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szCs w:val="21"/>
              </w:rPr>
              <w:t>70张图片</w:t>
            </w:r>
          </w:p>
          <w:p w14:paraId="4B42DF4A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eastAsia="宋体" w:cs="宋体"/>
                <w:szCs w:val="21"/>
              </w:rPr>
              <w:t>拓展荧光染色抗酸杆菌涂片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阅片范围不限于痰液涂片，脑脊液、胸腹水、关节液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检测符合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国家相关</w:t>
            </w:r>
            <w:r>
              <w:rPr>
                <w:rFonts w:hint="eastAsia" w:ascii="宋体" w:hAnsi="宋体" w:eastAsia="宋体" w:cs="宋体"/>
                <w:szCs w:val="21"/>
              </w:rPr>
              <w:t>标准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575BCBFC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配备至少</w:t>
            </w:r>
            <w:r>
              <w:rPr>
                <w:rFonts w:hint="eastAsia" w:ascii="宋体" w:hAnsi="宋体" w:eastAsia="宋体" w:cs="宋体"/>
                <w:szCs w:val="21"/>
              </w:rPr>
              <w:t>Window10操作系统，电脑配置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szCs w:val="21"/>
              </w:rPr>
              <w:t>64位，i5处理器，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至少</w:t>
            </w:r>
            <w:r>
              <w:rPr>
                <w:rFonts w:hint="eastAsia" w:ascii="宋体" w:hAnsi="宋体" w:eastAsia="宋体" w:cs="宋体"/>
                <w:szCs w:val="21"/>
              </w:rPr>
              <w:t>16G DDR4内存，≥512G固态硬盘，≧2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寸高清晣显示屏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分辩率≧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>2560*1440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1DA82DDD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、可随时添加载具，不受人工操作系统限制，不间断工作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07473F29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、具有显微镜视野明场与暗场点击按钮自动切换模式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</w:rPr>
              <w:t>自动拍摄涂片人工数字编号，或人工设计自动生成递增编号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7D25475E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、CCD防尘数码相机像素≥230万；最大分辨率≥1920*1200，像元尺寸5.0um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1972DAA7">
            <w:pPr>
              <w:spacing w:line="3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Cs w:val="21"/>
              </w:rPr>
              <w:t>、基于人工智能大数据构建的算法，可实现革兰染色、抗酸染色智能判读、识别、分类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能实现</w:t>
            </w:r>
            <w:r>
              <w:rPr>
                <w:rFonts w:hint="eastAsia" w:ascii="宋体" w:hAnsi="宋体" w:eastAsia="宋体" w:cs="宋体"/>
                <w:szCs w:val="21"/>
              </w:rPr>
              <w:t>局域网共享，LIS、His双向转输系统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 w14:paraId="00DCB874">
            <w:pPr>
              <w:spacing w:line="380" w:lineRule="exac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15、具备</w:t>
            </w:r>
            <w:r>
              <w:rPr>
                <w:rFonts w:hint="eastAsia" w:ascii="宋体" w:hAnsi="宋体" w:eastAsia="宋体" w:cs="宋体"/>
                <w:szCs w:val="21"/>
              </w:rPr>
              <w:t>无线网络通信、远程监控处理故障,智能管理数据信息、恢复程序软件升级服务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1017" w:type="dxa"/>
          </w:tcPr>
          <w:p w14:paraId="17E25091">
            <w:pPr>
              <w:spacing w:before="156" w:beforeLines="50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1台，共30万元。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500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注：以上需求意向仅供市场调研论证参考，不作为实际需求参数，请各参与公司根据以上意向需求，推介至少满足或优于意向需求的产品。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02FFC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FB9"/>
    <w:rsid w:val="00E40880"/>
    <w:rsid w:val="011628EF"/>
    <w:rsid w:val="035E4919"/>
    <w:rsid w:val="03767EED"/>
    <w:rsid w:val="0A6D7D12"/>
    <w:rsid w:val="0D3606B5"/>
    <w:rsid w:val="0D6613E9"/>
    <w:rsid w:val="10282537"/>
    <w:rsid w:val="11CE5360"/>
    <w:rsid w:val="123D3379"/>
    <w:rsid w:val="13FB2775"/>
    <w:rsid w:val="14693A81"/>
    <w:rsid w:val="14AF76CB"/>
    <w:rsid w:val="16663DB9"/>
    <w:rsid w:val="16DA6555"/>
    <w:rsid w:val="16F75359"/>
    <w:rsid w:val="18574301"/>
    <w:rsid w:val="1D5C4168"/>
    <w:rsid w:val="21F66939"/>
    <w:rsid w:val="22791318"/>
    <w:rsid w:val="254B6F9C"/>
    <w:rsid w:val="2FB4573E"/>
    <w:rsid w:val="339A4C4A"/>
    <w:rsid w:val="3C601127"/>
    <w:rsid w:val="43317379"/>
    <w:rsid w:val="446A755B"/>
    <w:rsid w:val="45401C53"/>
    <w:rsid w:val="46A63BDA"/>
    <w:rsid w:val="46D5604A"/>
    <w:rsid w:val="490333DE"/>
    <w:rsid w:val="4A6F2535"/>
    <w:rsid w:val="4C0038E6"/>
    <w:rsid w:val="50EC0D83"/>
    <w:rsid w:val="55482300"/>
    <w:rsid w:val="60C2565D"/>
    <w:rsid w:val="62103799"/>
    <w:rsid w:val="63CB0A82"/>
    <w:rsid w:val="67072569"/>
    <w:rsid w:val="676C4D9F"/>
    <w:rsid w:val="6A707ED8"/>
    <w:rsid w:val="6A7C53B9"/>
    <w:rsid w:val="6C0A7EB8"/>
    <w:rsid w:val="6E4E6782"/>
    <w:rsid w:val="6EDF562C"/>
    <w:rsid w:val="710B2341"/>
    <w:rsid w:val="7399049F"/>
    <w:rsid w:val="74F31B05"/>
    <w:rsid w:val="758D07AA"/>
    <w:rsid w:val="76365264"/>
    <w:rsid w:val="770E4D00"/>
    <w:rsid w:val="772A407B"/>
    <w:rsid w:val="7A9D5A1D"/>
    <w:rsid w:val="7AF67F85"/>
    <w:rsid w:val="7C5036C5"/>
    <w:rsid w:val="7D5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949</Characters>
  <Lines>0</Lines>
  <Paragraphs>0</Paragraphs>
  <TotalTime>147</TotalTime>
  <ScaleCrop>false</ScaleCrop>
  <LinksUpToDate>false</LinksUpToDate>
  <CharactersWithSpaces>952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2024-11-26T08:03:00Z</dcterms:created>
  <dc:creator>user</dc:creator>
  <cp:lastModifiedBy>福记</cp:lastModifiedBy>
  <dcterms:modified xsi:type="dcterms:W3CDTF">2025-02-05T10:15:45Z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7CBD3F679ADD49CE9A2830E47CE82302_12</vt:lpwstr>
  </property>
  <property fmtid="{D5CDD505-2E9C-101B-9397-08002B2CF9AE}" pid="4" name="KSOTemplateDocerSaveRecord">
    <vt:lpwstr>eyJoZGlkIjoiZmFlMGEwZTQxM2M0ZmVmNjk0MTA2MjExYTY4YTFjMjUiLCJ1c2VySWQiOiI2ODUyMTk1ODMifQ==</vt:lpwstr>
  </property>
</Properties>
</file>