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48DFA">
      <w:pPr>
        <w:jc w:val="center"/>
        <w:rPr>
          <w:rFonts w:hint="default" w:asciiTheme="majorEastAsia" w:hAnsiTheme="majorEastAsia" w:eastAsiaTheme="majorEastAsia" w:cstheme="majorEastAsia"/>
          <w:sz w:val="44"/>
          <w:szCs w:val="44"/>
          <w:woUserID w:val="1"/>
        </w:rPr>
      </w:pPr>
      <w:r>
        <w:rPr>
          <w:rFonts w:hint="eastAsia" w:asciiTheme="majorEastAsia" w:hAnsiTheme="majorEastAsia" w:eastAsiaTheme="majorEastAsia" w:cstheme="majorEastAsia"/>
          <w:sz w:val="44"/>
          <w:szCs w:val="44"/>
        </w:rPr>
        <w:t>病媒生物消杀服务服务</w:t>
      </w:r>
      <w:r>
        <w:rPr>
          <w:rFonts w:hint="default" w:asciiTheme="majorEastAsia" w:hAnsiTheme="majorEastAsia" w:eastAsiaTheme="majorEastAsia" w:cstheme="majorEastAsia"/>
          <w:sz w:val="44"/>
          <w:szCs w:val="44"/>
          <w:woUserID w:val="1"/>
        </w:rPr>
        <w:t>需求参数和控制价</w:t>
      </w:r>
    </w:p>
    <w:p w14:paraId="5706E3D0">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说明：</w:t>
      </w:r>
    </w:p>
    <w:p w14:paraId="60C4344C">
      <w:pPr>
        <w:keepNext w:val="0"/>
        <w:keepLines w:val="0"/>
        <w:widowControl w:val="0"/>
        <w:suppressLineNumbers w:val="0"/>
        <w:spacing w:before="0" w:beforeAutospacing="0" w:after="0" w:afterAutospacing="0" w:line="40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 为落实政府采购政策需满足的要求。</w:t>
      </w:r>
    </w:p>
    <w:p w14:paraId="1D8A4AAB">
      <w:pPr>
        <w:keepNext w:val="0"/>
        <w:keepLines w:val="0"/>
        <w:widowControl w:val="0"/>
        <w:suppressLineNumbers w:val="0"/>
        <w:spacing w:before="0" w:beforeAutospacing="0" w:after="0" w:afterAutospacing="0" w:line="40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本招标文件所称中小企业必须符合《政府采购促进中小企业发展管理办法》（财库〔2020〕46号）的规定。</w:t>
      </w:r>
    </w:p>
    <w:p w14:paraId="0D8643D6">
      <w:pPr>
        <w:keepNext w:val="0"/>
        <w:keepLines w:val="0"/>
        <w:widowControl w:val="0"/>
        <w:numPr>
          <w:ilvl w:val="0"/>
          <w:numId w:val="1"/>
        </w:numPr>
        <w:suppressLineNumbers w:val="0"/>
        <w:spacing w:before="0" w:beforeAutospacing="0" w:after="0" w:afterAutospacing="0" w:line="400" w:lineRule="exact"/>
        <w:ind w:left="0" w:right="0" w:firstLine="646" w:firstLineChars="202"/>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“实质性要求”是指招标文件中已经指明不满足则投标无效的条款，或者不能负偏离的条款，或者采购需求中带“▲”的条款。</w:t>
      </w:r>
    </w:p>
    <w:p w14:paraId="5111DC38">
      <w:pPr>
        <w:keepNext w:val="0"/>
        <w:keepLines w:val="0"/>
        <w:widowControl w:val="0"/>
        <w:numPr>
          <w:ilvl w:val="0"/>
          <w:numId w:val="1"/>
        </w:numPr>
        <w:suppressLineNumbers w:val="0"/>
        <w:spacing w:before="0" w:beforeAutospacing="0" w:after="0" w:afterAutospacing="0" w:line="400" w:lineRule="exact"/>
        <w:ind w:left="0" w:right="0" w:firstLine="646" w:firstLineChars="202"/>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重要评价参数在参数文件中“■”标注。。</w:t>
      </w:r>
    </w:p>
    <w:p w14:paraId="0AF47D79">
      <w:pPr>
        <w:keepNext w:val="0"/>
        <w:keepLines w:val="0"/>
        <w:widowControl w:val="0"/>
        <w:suppressLineNumbers w:val="0"/>
        <w:spacing w:before="0" w:beforeAutospacing="0" w:after="0" w:afterAutospacing="0" w:line="400" w:lineRule="exact"/>
        <w:ind w:left="0" w:right="0" w:firstLine="646" w:firstLineChars="202"/>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4.采购需求中出现的品牌、型号或者生产厂家仅起参考作用，不属于指定品牌、型号或者生产厂家的情形。投标人可参照或者选用其他相当的品牌、型号或者生产厂家替代。</w:t>
      </w:r>
    </w:p>
    <w:p w14:paraId="49C3DBE8">
      <w:pPr>
        <w:keepNext w:val="0"/>
        <w:keepLines w:val="0"/>
        <w:widowControl w:val="0"/>
        <w:suppressLineNumbers w:val="0"/>
        <w:spacing w:before="0" w:beforeAutospacing="0" w:after="0" w:afterAutospacing="0" w:line="400" w:lineRule="exact"/>
        <w:ind w:left="0" w:right="0" w:firstLine="646" w:firstLineChars="202"/>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5.投标人应根据自身实际情况如实响应招标文件，对招标文件提出的要求和条件作出明确响应，</w:t>
      </w:r>
      <w:r>
        <w:rPr>
          <w:rFonts w:hint="eastAsia" w:ascii="仿宋" w:hAnsi="仿宋" w:eastAsia="仿宋" w:cs="仿宋"/>
          <w:b/>
          <w:bCs/>
          <w:kern w:val="2"/>
          <w:sz w:val="32"/>
          <w:szCs w:val="32"/>
          <w:lang w:val="en-US" w:eastAsia="zh-CN" w:bidi="ar"/>
        </w:rPr>
        <w:t>否则将作无效响应处理</w:t>
      </w:r>
      <w:r>
        <w:rPr>
          <w:rFonts w:hint="eastAsia" w:ascii="仿宋" w:hAnsi="仿宋" w:eastAsia="仿宋" w:cs="仿宋"/>
          <w:kern w:val="2"/>
          <w:sz w:val="32"/>
          <w:szCs w:val="32"/>
          <w:lang w:val="en-US" w:eastAsia="zh-CN" w:bidi="ar"/>
        </w:rPr>
        <w:t>。对于重要技术条款或技术参数应当在投标文件中提供技术支持资料，技术支持资料以招标文件中规定的形式为准，</w:t>
      </w:r>
      <w:r>
        <w:rPr>
          <w:rFonts w:hint="eastAsia" w:ascii="仿宋" w:hAnsi="仿宋" w:eastAsia="仿宋" w:cs="仿宋"/>
          <w:b/>
          <w:bCs/>
          <w:kern w:val="2"/>
          <w:sz w:val="32"/>
          <w:szCs w:val="32"/>
          <w:lang w:val="en-US" w:eastAsia="zh-CN" w:bidi="ar"/>
        </w:rPr>
        <w:t>否则将视为无效技术支持资料</w:t>
      </w:r>
      <w:r>
        <w:rPr>
          <w:rFonts w:hint="eastAsia" w:ascii="仿宋" w:hAnsi="仿宋" w:eastAsia="仿宋" w:cs="仿宋"/>
          <w:kern w:val="2"/>
          <w:sz w:val="32"/>
          <w:szCs w:val="32"/>
          <w:lang w:val="en-US" w:eastAsia="zh-CN" w:bidi="ar"/>
        </w:rPr>
        <w:t>。</w:t>
      </w:r>
    </w:p>
    <w:p w14:paraId="7DC32B53">
      <w:pPr>
        <w:keepNext w:val="0"/>
        <w:keepLines w:val="0"/>
        <w:widowControl w:val="0"/>
        <w:suppressLineNumbers w:val="0"/>
        <w:spacing w:before="0" w:beforeAutospacing="0" w:after="0" w:afterAutospacing="0" w:line="400" w:lineRule="exact"/>
        <w:ind w:left="0" w:right="0" w:firstLine="470" w:firstLineChars="147"/>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6.投标人必须自行为其投标产品侵犯他人的知识产权或者专利成果的行为承担相应法律责任。</w:t>
      </w:r>
    </w:p>
    <w:p w14:paraId="092FDA38">
      <w:pPr>
        <w:keepNext w:val="0"/>
        <w:keepLines w:val="0"/>
        <w:widowControl w:val="0"/>
        <w:suppressLineNumbers w:val="0"/>
        <w:spacing w:before="0" w:beforeAutospacing="0" w:after="0" w:afterAutospacing="0" w:line="400" w:lineRule="exact"/>
        <w:ind w:left="0" w:right="0" w:firstLine="470" w:firstLineChars="147"/>
        <w:jc w:val="left"/>
        <w:rPr>
          <w:rFonts w:hint="eastAsia" w:ascii="仿宋" w:hAnsi="仿宋" w:eastAsia="仿宋" w:cs="仿宋"/>
          <w:kern w:val="2"/>
          <w:sz w:val="32"/>
          <w:szCs w:val="32"/>
          <w:lang w:val="en-US" w:eastAsia="zh-CN" w:bidi="ar"/>
        </w:rPr>
      </w:pPr>
    </w:p>
    <w:p w14:paraId="5C552CFB">
      <w:pPr>
        <w:pStyle w:val="11"/>
        <w:numPr>
          <w:ilvl w:val="0"/>
          <w:numId w:val="2"/>
        </w:numPr>
        <w:spacing w:line="360" w:lineRule="auto"/>
        <w:ind w:firstLineChars="0"/>
        <w:jc w:val="left"/>
        <w:rPr>
          <w:rFonts w:hint="eastAsia" w:ascii="仿宋" w:hAnsi="仿宋" w:eastAsia="仿宋" w:cs="仿宋"/>
          <w:b/>
          <w:sz w:val="32"/>
          <w:szCs w:val="32"/>
        </w:rPr>
      </w:pPr>
      <w:r>
        <w:rPr>
          <w:rFonts w:hint="eastAsia" w:ascii="仿宋" w:hAnsi="仿宋" w:eastAsia="仿宋" w:cs="仿宋"/>
          <w:b/>
          <w:sz w:val="32"/>
          <w:szCs w:val="32"/>
        </w:rPr>
        <w:t>供应商资格要求：</w:t>
      </w:r>
    </w:p>
    <w:p w14:paraId="7132BA03">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符合《中华人民共和国政府采购法》第二十二条规定的供应商资格条件。</w:t>
      </w:r>
    </w:p>
    <w:p w14:paraId="7C7B593F">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国内注册（指按国家有关规定要求注册的），具有提供本次招标采购货物及服务能力，具备法人资格的生产厂家或供应商。</w:t>
      </w:r>
    </w:p>
    <w:p w14:paraId="70B3594F">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对在“信用中国”网站(www.creditchina.gov.cn) 、中国政府采购网(www.ccgp.gov.cn)被列入失信被执行人、重大税收违法案件当事人名单、政府采购严重违法失信行为记录名单、广西壮族自治区江滨医院失信行为“ 黑名单 ”及其他不符合《中华人民共和国政府采购法》第二十二条规定条件的供应商，不得参与采购活动。</w:t>
      </w:r>
    </w:p>
    <w:p w14:paraId="64ED7498">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供应商有效的《营业执照》复印件加盖公章。</w:t>
      </w:r>
    </w:p>
    <w:p w14:paraId="5BA28371">
      <w:pPr>
        <w:pStyle w:val="11"/>
        <w:numPr>
          <w:ilvl w:val="0"/>
          <w:numId w:val="3"/>
        </w:numPr>
        <w:spacing w:line="360" w:lineRule="auto"/>
        <w:ind w:firstLineChars="0"/>
        <w:jc w:val="left"/>
        <w:rPr>
          <w:rFonts w:hint="eastAsia" w:ascii="仿宋" w:hAnsi="仿宋" w:eastAsia="仿宋" w:cs="仿宋"/>
          <w:sz w:val="32"/>
          <w:szCs w:val="32"/>
        </w:rPr>
      </w:pPr>
      <w:r>
        <w:rPr>
          <w:rStyle w:val="12"/>
          <w:rFonts w:hint="eastAsia" w:ascii="仿宋" w:hAnsi="仿宋" w:eastAsia="仿宋" w:cs="仿宋"/>
          <w:bCs/>
          <w:sz w:val="32"/>
          <w:szCs w:val="32"/>
        </w:rPr>
        <w:t>具有履行合同所必需的设备和专业技术能力。</w:t>
      </w:r>
    </w:p>
    <w:p w14:paraId="677275F9">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近三年内经营活动中没有重大违法、违规记录和不良信用记录的企业。</w:t>
      </w:r>
    </w:p>
    <w:p w14:paraId="0BB3B571">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符合相关法律、法规规定的其他要求。</w:t>
      </w:r>
    </w:p>
    <w:p w14:paraId="5DB75B27">
      <w:pPr>
        <w:pStyle w:val="11"/>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本项目不接受联合体</w:t>
      </w:r>
      <w:r>
        <w:rPr>
          <w:rFonts w:hint="eastAsia" w:ascii="仿宋" w:hAnsi="仿宋" w:eastAsia="仿宋" w:cs="仿宋"/>
          <w:sz w:val="32"/>
          <w:szCs w:val="32"/>
          <w:lang w:eastAsia="zh-CN"/>
        </w:rPr>
        <w:t>，</w:t>
      </w:r>
      <w:r>
        <w:rPr>
          <w:rFonts w:hint="eastAsia" w:ascii="仿宋" w:hAnsi="仿宋" w:eastAsia="仿宋" w:cs="仿宋"/>
          <w:sz w:val="32"/>
          <w:szCs w:val="32"/>
        </w:rPr>
        <w:t>不得转让或转包</w:t>
      </w:r>
      <w:r>
        <w:rPr>
          <w:rFonts w:hint="eastAsia" w:ascii="仿宋" w:hAnsi="仿宋" w:eastAsia="仿宋" w:cs="仿宋"/>
          <w:sz w:val="32"/>
          <w:szCs w:val="32"/>
          <w:lang w:eastAsia="zh-CN"/>
        </w:rPr>
        <w:t>。</w:t>
      </w:r>
    </w:p>
    <w:p w14:paraId="65470DC4">
      <w:pPr>
        <w:pStyle w:val="2"/>
        <w:keepNext w:val="0"/>
        <w:keepLines w:val="0"/>
        <w:pageBreakBefore w:val="0"/>
        <w:widowControl w:val="0"/>
        <w:wordWrap/>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cstheme="minorEastAsia"/>
          <w:b/>
          <w:bCs/>
          <w:color w:val="000000" w:themeColor="text1"/>
          <w:sz w:val="30"/>
          <w:szCs w:val="30"/>
          <w:lang w:eastAsia="zh-CN"/>
          <w14:textFill>
            <w14:solidFill>
              <w14:schemeClr w14:val="tx1"/>
            </w14:solidFill>
          </w14:textFill>
        </w:rPr>
        <w:t>二、服务需求</w:t>
      </w:r>
    </w:p>
    <w:tbl>
      <w:tblPr>
        <w:tblStyle w:val="6"/>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1"/>
        <w:gridCol w:w="855"/>
        <w:gridCol w:w="6384"/>
      </w:tblGrid>
      <w:tr w14:paraId="1C269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219" w:type="dxa"/>
            <w:gridSpan w:val="4"/>
            <w:tcBorders>
              <w:top w:val="single" w:color="auto" w:sz="4" w:space="0"/>
              <w:left w:val="single" w:color="auto" w:sz="4" w:space="0"/>
              <w:bottom w:val="single" w:color="auto" w:sz="4" w:space="0"/>
              <w:right w:val="single" w:color="auto" w:sz="4" w:space="0"/>
            </w:tcBorders>
          </w:tcPr>
          <w:p w14:paraId="15EB79D9">
            <w:pPr>
              <w:pStyle w:val="10"/>
              <w:spacing w:line="420" w:lineRule="exact"/>
              <w:rPr>
                <w:rFonts w:hint="eastAsia" w:ascii="仿宋" w:hAnsi="仿宋" w:eastAsia="仿宋" w:cs="仿宋"/>
                <w:kern w:val="2"/>
                <w:sz w:val="32"/>
                <w:szCs w:val="32"/>
              </w:rPr>
            </w:pPr>
            <w:r>
              <w:rPr>
                <w:rFonts w:hint="eastAsia" w:ascii="仿宋" w:hAnsi="仿宋" w:eastAsia="仿宋" w:cs="仿宋"/>
                <w:b/>
                <w:sz w:val="32"/>
                <w:szCs w:val="32"/>
              </w:rPr>
              <w:t>一、项目要求及技术需求</w:t>
            </w:r>
          </w:p>
        </w:tc>
      </w:tr>
      <w:tr w14:paraId="07BBE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09" w:type="dxa"/>
            <w:tcBorders>
              <w:top w:val="single" w:color="auto" w:sz="4" w:space="0"/>
              <w:left w:val="single" w:color="auto" w:sz="4" w:space="0"/>
              <w:bottom w:val="single" w:color="auto" w:sz="4" w:space="0"/>
              <w:right w:val="single" w:color="auto" w:sz="4" w:space="0"/>
            </w:tcBorders>
            <w:vAlign w:val="center"/>
          </w:tcPr>
          <w:p w14:paraId="34D15B1A">
            <w:pPr>
              <w:pStyle w:val="10"/>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项号</w:t>
            </w:r>
          </w:p>
        </w:tc>
        <w:tc>
          <w:tcPr>
            <w:tcW w:w="1271" w:type="dxa"/>
            <w:tcBorders>
              <w:top w:val="single" w:color="auto" w:sz="4" w:space="0"/>
              <w:left w:val="single" w:color="auto" w:sz="4" w:space="0"/>
              <w:bottom w:val="single" w:color="auto" w:sz="4" w:space="0"/>
              <w:right w:val="single" w:color="auto" w:sz="4" w:space="0"/>
            </w:tcBorders>
            <w:vAlign w:val="center"/>
          </w:tcPr>
          <w:p w14:paraId="6E6480CC">
            <w:pPr>
              <w:pStyle w:val="10"/>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服务名称</w:t>
            </w:r>
          </w:p>
        </w:tc>
        <w:tc>
          <w:tcPr>
            <w:tcW w:w="855" w:type="dxa"/>
            <w:tcBorders>
              <w:top w:val="single" w:color="auto" w:sz="4" w:space="0"/>
              <w:left w:val="single" w:color="auto" w:sz="4" w:space="0"/>
              <w:bottom w:val="single" w:color="auto" w:sz="4" w:space="0"/>
              <w:right w:val="single" w:color="auto" w:sz="4" w:space="0"/>
            </w:tcBorders>
            <w:vAlign w:val="center"/>
          </w:tcPr>
          <w:p w14:paraId="19F2B129">
            <w:pPr>
              <w:pStyle w:val="10"/>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数量</w:t>
            </w:r>
          </w:p>
        </w:tc>
        <w:tc>
          <w:tcPr>
            <w:tcW w:w="6384" w:type="dxa"/>
            <w:tcBorders>
              <w:top w:val="single" w:color="auto" w:sz="4" w:space="0"/>
              <w:left w:val="single" w:color="auto" w:sz="4" w:space="0"/>
              <w:bottom w:val="single" w:color="auto" w:sz="4" w:space="0"/>
              <w:right w:val="single" w:color="auto" w:sz="4" w:space="0"/>
            </w:tcBorders>
            <w:vAlign w:val="center"/>
          </w:tcPr>
          <w:p w14:paraId="2E6DF10F">
            <w:pPr>
              <w:pStyle w:val="10"/>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技术（服务）要求</w:t>
            </w:r>
          </w:p>
        </w:tc>
      </w:tr>
      <w:tr w14:paraId="4DA42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09" w:type="dxa"/>
            <w:tcBorders>
              <w:top w:val="single" w:color="auto" w:sz="4" w:space="0"/>
              <w:left w:val="single" w:color="auto" w:sz="4" w:space="0"/>
              <w:bottom w:val="single" w:color="auto" w:sz="4" w:space="0"/>
              <w:right w:val="single" w:color="auto" w:sz="4" w:space="0"/>
            </w:tcBorders>
            <w:vAlign w:val="center"/>
          </w:tcPr>
          <w:p w14:paraId="16CE1D92">
            <w:pPr>
              <w:widowControl/>
              <w:spacing w:line="42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71" w:type="dxa"/>
            <w:tcBorders>
              <w:top w:val="single" w:color="auto" w:sz="4" w:space="0"/>
              <w:left w:val="single" w:color="auto" w:sz="4" w:space="0"/>
              <w:bottom w:val="single" w:color="auto" w:sz="4" w:space="0"/>
              <w:right w:val="single" w:color="auto" w:sz="4" w:space="0"/>
            </w:tcBorders>
            <w:vAlign w:val="center"/>
          </w:tcPr>
          <w:p w14:paraId="4CE6C635">
            <w:pPr>
              <w:jc w:val="center"/>
              <w:rPr>
                <w:rFonts w:hint="eastAsia" w:ascii="仿宋" w:hAnsi="仿宋" w:eastAsia="仿宋" w:cs="仿宋"/>
                <w:sz w:val="32"/>
                <w:szCs w:val="32"/>
              </w:rPr>
            </w:pPr>
            <w:r>
              <w:rPr>
                <w:rFonts w:hint="eastAsia" w:ascii="仿宋" w:hAnsi="仿宋" w:eastAsia="仿宋" w:cs="仿宋"/>
                <w:sz w:val="32"/>
                <w:szCs w:val="32"/>
              </w:rPr>
              <w:t>病媒生物消杀服务</w:t>
            </w:r>
          </w:p>
        </w:tc>
        <w:tc>
          <w:tcPr>
            <w:tcW w:w="855" w:type="dxa"/>
            <w:tcBorders>
              <w:top w:val="single" w:color="auto" w:sz="4" w:space="0"/>
              <w:left w:val="single" w:color="auto" w:sz="4" w:space="0"/>
              <w:bottom w:val="single" w:color="auto" w:sz="4" w:space="0"/>
              <w:right w:val="single" w:color="auto" w:sz="4" w:space="0"/>
            </w:tcBorders>
            <w:vAlign w:val="center"/>
          </w:tcPr>
          <w:p w14:paraId="4629E053">
            <w:pPr>
              <w:jc w:val="center"/>
              <w:rPr>
                <w:rFonts w:hint="eastAsia" w:ascii="仿宋" w:hAnsi="仿宋" w:eastAsia="仿宋" w:cs="仿宋"/>
                <w:sz w:val="32"/>
                <w:szCs w:val="32"/>
              </w:rPr>
            </w:pPr>
            <w:r>
              <w:rPr>
                <w:rFonts w:hint="eastAsia" w:ascii="仿宋" w:hAnsi="仿宋" w:eastAsia="仿宋" w:cs="仿宋"/>
                <w:sz w:val="32"/>
                <w:szCs w:val="32"/>
              </w:rPr>
              <w:t>1项</w:t>
            </w:r>
          </w:p>
        </w:tc>
        <w:tc>
          <w:tcPr>
            <w:tcW w:w="6384" w:type="dxa"/>
            <w:tcBorders>
              <w:top w:val="single" w:color="auto" w:sz="4" w:space="0"/>
              <w:left w:val="single" w:color="auto" w:sz="4" w:space="0"/>
              <w:bottom w:val="single" w:color="auto" w:sz="4" w:space="0"/>
              <w:right w:val="single" w:color="auto" w:sz="4" w:space="0"/>
            </w:tcBorders>
            <w:vAlign w:val="center"/>
          </w:tcPr>
          <w:p w14:paraId="0603685E">
            <w:pPr>
              <w:spacing w:line="360" w:lineRule="auto"/>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基本概况</w:t>
            </w:r>
          </w:p>
          <w:p w14:paraId="0F14643F">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医院占地面积</w:t>
            </w:r>
            <w:r>
              <w:rPr>
                <w:rFonts w:hint="eastAsia" w:ascii="仿宋" w:hAnsi="仿宋" w:eastAsia="仿宋" w:cs="仿宋"/>
                <w:sz w:val="32"/>
                <w:szCs w:val="32"/>
                <w:lang w:eastAsia="zh-CN"/>
              </w:rPr>
              <w:t>约</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万</w:t>
            </w:r>
            <w:r>
              <w:rPr>
                <w:rFonts w:hint="eastAsia" w:ascii="仿宋" w:hAnsi="仿宋" w:eastAsia="仿宋" w:cs="仿宋"/>
                <w:sz w:val="32"/>
                <w:szCs w:val="32"/>
              </w:rPr>
              <w:t>平方米，业务用房建筑面积</w:t>
            </w:r>
            <w:r>
              <w:rPr>
                <w:rFonts w:hint="eastAsia" w:ascii="仿宋" w:hAnsi="仿宋" w:eastAsia="仿宋" w:cs="仿宋"/>
                <w:sz w:val="32"/>
                <w:szCs w:val="32"/>
                <w:lang w:eastAsia="zh-CN"/>
              </w:rPr>
              <w:t>约</w:t>
            </w:r>
            <w:r>
              <w:rPr>
                <w:rFonts w:hint="eastAsia" w:ascii="仿宋" w:hAnsi="仿宋" w:eastAsia="仿宋" w:cs="仿宋"/>
                <w:color w:val="FF0000"/>
                <w:sz w:val="32"/>
                <w:szCs w:val="32"/>
                <w:lang w:val="en-US" w:eastAsia="zh-CN"/>
              </w:rPr>
              <w:t>14</w:t>
            </w:r>
            <w:r>
              <w:rPr>
                <w:rFonts w:hint="eastAsia" w:ascii="仿宋" w:hAnsi="仿宋" w:eastAsia="仿宋" w:cs="仿宋"/>
                <w:color w:val="FF0000"/>
                <w:sz w:val="32"/>
                <w:szCs w:val="32"/>
                <w:lang w:eastAsia="zh-CN"/>
              </w:rPr>
              <w:t>万</w:t>
            </w:r>
            <w:r>
              <w:rPr>
                <w:rFonts w:hint="eastAsia" w:ascii="仿宋" w:hAnsi="仿宋" w:eastAsia="仿宋" w:cs="仿宋"/>
                <w:color w:val="FF0000"/>
                <w:sz w:val="32"/>
                <w:szCs w:val="32"/>
              </w:rPr>
              <w:t>平方米</w:t>
            </w:r>
            <w:r>
              <w:rPr>
                <w:rFonts w:hint="eastAsia" w:ascii="仿宋" w:hAnsi="仿宋" w:eastAsia="仿宋" w:cs="仿宋"/>
                <w:sz w:val="32"/>
                <w:szCs w:val="32"/>
              </w:rPr>
              <w:t>。院内主要环境及建筑布局有</w:t>
            </w:r>
            <w:r>
              <w:rPr>
                <w:rFonts w:hint="eastAsia" w:ascii="仿宋" w:hAnsi="仿宋" w:eastAsia="仿宋" w:cs="仿宋"/>
                <w:color w:val="FF0000"/>
                <w:sz w:val="32"/>
                <w:szCs w:val="32"/>
                <w:lang w:eastAsia="zh-CN"/>
              </w:rPr>
              <w:t>老年医学中心大楼</w:t>
            </w:r>
            <w:r>
              <w:rPr>
                <w:rFonts w:hint="eastAsia" w:ascii="仿宋" w:hAnsi="仿宋" w:eastAsia="仿宋" w:cs="仿宋"/>
                <w:sz w:val="32"/>
                <w:szCs w:val="32"/>
                <w:lang w:eastAsia="zh-CN"/>
              </w:rPr>
              <w:t>、</w:t>
            </w:r>
            <w:r>
              <w:rPr>
                <w:rFonts w:hint="eastAsia" w:ascii="仿宋" w:hAnsi="仿宋" w:eastAsia="仿宋" w:cs="仿宋"/>
                <w:sz w:val="32"/>
                <w:szCs w:val="32"/>
              </w:rPr>
              <w:t>门诊大楼、14层住院大楼、神经内科楼、大医康复楼、大爱康复楼、放射科楼、体检中心大楼、办公楼、职工食堂、营养食堂、后勤服务楼、高压氧楼、供应室、教学楼、设备楼、停车场、垃圾中转站、临时垃圾堆放处以及各类绿植景观绿化带等。</w:t>
            </w:r>
          </w:p>
          <w:p w14:paraId="0F6161C5">
            <w:pPr>
              <w:numPr>
                <w:ilvl w:val="0"/>
                <w:numId w:val="4"/>
              </w:numPr>
              <w:spacing w:line="360" w:lineRule="auto"/>
              <w:jc w:val="left"/>
              <w:rPr>
                <w:rFonts w:hint="eastAsia" w:ascii="仿宋" w:hAnsi="仿宋" w:eastAsia="仿宋" w:cs="仿宋"/>
                <w:sz w:val="32"/>
                <w:szCs w:val="32"/>
              </w:rPr>
            </w:pPr>
            <w:r>
              <w:rPr>
                <w:rFonts w:hint="eastAsia" w:ascii="仿宋" w:hAnsi="仿宋" w:eastAsia="仿宋" w:cs="仿宋"/>
                <w:sz w:val="32"/>
                <w:szCs w:val="32"/>
              </w:rPr>
              <w:t>服务</w:t>
            </w:r>
            <w:r>
              <w:rPr>
                <w:rFonts w:hint="eastAsia" w:ascii="仿宋" w:hAnsi="仿宋" w:eastAsia="仿宋" w:cs="仿宋"/>
                <w:sz w:val="32"/>
                <w:szCs w:val="32"/>
                <w:lang w:eastAsia="zh-CN"/>
              </w:rPr>
              <w:t>范围和</w:t>
            </w:r>
            <w:r>
              <w:rPr>
                <w:rFonts w:hint="eastAsia" w:ascii="仿宋" w:hAnsi="仿宋" w:eastAsia="仿宋" w:cs="仿宋"/>
                <w:sz w:val="32"/>
                <w:szCs w:val="32"/>
              </w:rPr>
              <w:t>内容：</w:t>
            </w:r>
          </w:p>
          <w:p w14:paraId="1D93C47D">
            <w:pPr>
              <w:numPr>
                <w:ilvl w:val="0"/>
                <w:numId w:val="0"/>
              </w:numPr>
              <w:spacing w:line="360" w:lineRule="auto"/>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sz w:val="32"/>
                <w:szCs w:val="32"/>
              </w:rPr>
              <w:t>（一）防制范围：</w:t>
            </w:r>
          </w:p>
          <w:p w14:paraId="6E9D6386">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rPr>
              <w:t>1、医院内建筑物周围及室内和公共部位</w:t>
            </w:r>
            <w:r>
              <w:rPr>
                <w:rFonts w:hint="eastAsia" w:ascii="仿宋" w:hAnsi="仿宋" w:eastAsia="仿宋" w:cs="仿宋"/>
                <w:sz w:val="32"/>
                <w:szCs w:val="32"/>
                <w:lang w:eastAsia="zh-CN"/>
              </w:rPr>
              <w:t>，</w:t>
            </w:r>
            <w:r>
              <w:rPr>
                <w:rFonts w:hint="eastAsia" w:ascii="仿宋" w:hAnsi="仿宋" w:eastAsia="仿宋" w:cs="仿宋"/>
                <w:sz w:val="32"/>
                <w:szCs w:val="32"/>
              </w:rPr>
              <w:t>包括</w:t>
            </w:r>
            <w:r>
              <w:rPr>
                <w:rFonts w:hint="eastAsia" w:ascii="仿宋" w:hAnsi="仿宋" w:eastAsia="仿宋" w:cs="仿宋"/>
                <w:sz w:val="32"/>
                <w:szCs w:val="32"/>
                <w:lang w:eastAsia="zh-CN"/>
              </w:rPr>
              <w:t>但不限于</w:t>
            </w:r>
            <w:r>
              <w:rPr>
                <w:rFonts w:hint="eastAsia" w:ascii="仿宋" w:hAnsi="仿宋" w:eastAsia="仿宋" w:cs="仿宋"/>
                <w:sz w:val="32"/>
                <w:szCs w:val="32"/>
              </w:rPr>
              <w:t>院区所有建筑物室内外、地下车库、地下仓库、洗衣房、公共绿化带、垃圾堆放场所、大小污积水体、公厕、下水道、化粪池</w:t>
            </w:r>
            <w:r>
              <w:rPr>
                <w:rFonts w:hint="eastAsia" w:ascii="仿宋" w:hAnsi="仿宋" w:eastAsia="仿宋" w:cs="仿宋"/>
                <w:sz w:val="32"/>
                <w:szCs w:val="32"/>
                <w:lang w:eastAsia="zh-CN"/>
              </w:rPr>
              <w:t>等。</w:t>
            </w:r>
          </w:p>
          <w:p w14:paraId="71B8D054">
            <w:pPr>
              <w:spacing w:line="360" w:lineRule="auto"/>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lang w:eastAsia="zh-CN"/>
              </w:rPr>
              <w:t>卫生城市建设要求的门前三包及周边责任范围内。</w:t>
            </w:r>
          </w:p>
          <w:p w14:paraId="20DABF40">
            <w:pPr>
              <w:spacing w:line="360" w:lineRule="auto"/>
              <w:jc w:val="left"/>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3、虫媒疫情防控要求或医院感染控制要求的临时性病媒生物消杀要求。</w:t>
            </w:r>
          </w:p>
          <w:p w14:paraId="35D83BAC">
            <w:pPr>
              <w:spacing w:line="360" w:lineRule="auto"/>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sz w:val="32"/>
                <w:szCs w:val="32"/>
              </w:rPr>
              <w:t>（二）服务内容：</w:t>
            </w:r>
          </w:p>
          <w:p w14:paraId="28A772E3">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鼠、蟑、蚊、蝇等病媒生物防治</w:t>
            </w:r>
            <w:r>
              <w:rPr>
                <w:rFonts w:hint="eastAsia" w:ascii="仿宋" w:hAnsi="仿宋" w:eastAsia="仿宋" w:cs="仿宋"/>
                <w:sz w:val="32"/>
                <w:szCs w:val="32"/>
                <w:lang w:eastAsia="zh-CN"/>
              </w:rPr>
              <w:t>和消杀</w:t>
            </w:r>
            <w:r>
              <w:rPr>
                <w:rFonts w:hint="eastAsia" w:ascii="仿宋" w:hAnsi="仿宋" w:eastAsia="仿宋" w:cs="仿宋"/>
                <w:sz w:val="32"/>
                <w:szCs w:val="32"/>
              </w:rPr>
              <w:t>，重点防治对象为鼠、蟑、蚊、蝇类（简称“四害”）；</w:t>
            </w:r>
          </w:p>
          <w:p w14:paraId="1CDE60BD">
            <w:pPr>
              <w:spacing w:line="360" w:lineRule="auto"/>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rPr>
              <w:t>蚁类、蛇类等。蚁类</w:t>
            </w:r>
            <w:r>
              <w:rPr>
                <w:rFonts w:hint="eastAsia" w:ascii="仿宋" w:hAnsi="仿宋" w:eastAsia="仿宋" w:cs="仿宋"/>
                <w:color w:val="FF0000"/>
                <w:sz w:val="32"/>
                <w:szCs w:val="32"/>
                <w:lang w:eastAsia="zh-CN"/>
              </w:rPr>
              <w:t>包括但不限于白蚁、红火蚁等。</w:t>
            </w:r>
          </w:p>
          <w:p w14:paraId="02BD906B">
            <w:pPr>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sz w:val="32"/>
                <w:szCs w:val="32"/>
              </w:rPr>
              <w:t>三、服务要求</w:t>
            </w:r>
          </w:p>
          <w:p w14:paraId="071DBFAC">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（一）工作要求：</w:t>
            </w:r>
          </w:p>
          <w:p w14:paraId="29A312B3">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1、灭鼠：每一个月定期集中灭鼠一次（包括检查封堵情况、毒鼠屋药饵更换等）</w:t>
            </w:r>
            <w:r>
              <w:rPr>
                <w:rFonts w:hint="eastAsia" w:ascii="仿宋" w:hAnsi="仿宋" w:eastAsia="仿宋" w:cs="仿宋"/>
                <w:sz w:val="32"/>
                <w:szCs w:val="32"/>
                <w:lang w:eastAsia="zh-CN"/>
              </w:rPr>
              <w:t>。</w:t>
            </w:r>
            <w:r>
              <w:rPr>
                <w:rFonts w:hint="eastAsia" w:ascii="仿宋" w:hAnsi="仿宋" w:eastAsia="仿宋" w:cs="仿宋"/>
                <w:sz w:val="32"/>
                <w:szCs w:val="32"/>
              </w:rPr>
              <w:t>所辖内外公共环境及外围适当位置安装老鼠毒饵站，并对毒饵站进行编号，做好标识牌，按时间安排表对毒饵站进行检查，及时更新鼠药。</w:t>
            </w:r>
          </w:p>
          <w:p w14:paraId="1F0A8456">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2、杀虫（灭蟑、蚊、蝇）：每月定期集中消杀一次。为巩固灭效要求在食堂、病房区、门诊等重点场所适宜的地方安装固定监测用粘虫胶板，达到长年及时掌握动态虫情的目的。</w:t>
            </w:r>
          </w:p>
          <w:p w14:paraId="5127E481">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3、每个月检查补漏，局部重点区域加强消杀一次，遇到虫媒疫情或遇到有关部门对病媒专项检查，必要时免费增加消杀次数。</w:t>
            </w:r>
          </w:p>
          <w:p w14:paraId="1164BEC1">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4、每月一次定期巡查院内新增鼠洞及新出现积水、垃圾等蚊虫孳生地做好记录及时处理。每月一次检查所有防鼠防虫设施，对有破坏或新增危害点进行维护、建设、更新并做好相关记录。</w:t>
            </w:r>
          </w:p>
          <w:p w14:paraId="19D7A36E">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5、每月对防治效果进行回访，回访表分成若干重点区域，由各区域负责人评价签字。</w:t>
            </w:r>
          </w:p>
          <w:p w14:paraId="67D58ECF">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6、因雨天或其他因素影响防治区消杀效果的，要及时进行补救性消杀。</w:t>
            </w:r>
          </w:p>
          <w:p w14:paraId="3D1DC1A5">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7、每2个月对鼠、虫情进行监测，掌控鼠虫害消杀效果，及时跟进虫情变化情况，并及时调整消杀方案。</w:t>
            </w:r>
          </w:p>
          <w:p w14:paraId="10993671">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8、在</w:t>
            </w:r>
            <w:r>
              <w:rPr>
                <w:rFonts w:hint="eastAsia" w:ascii="仿宋" w:hAnsi="仿宋" w:eastAsia="仿宋" w:cs="仿宋"/>
                <w:sz w:val="32"/>
                <w:szCs w:val="32"/>
                <w:lang w:eastAsia="zh-CN"/>
              </w:rPr>
              <w:t>服务</w:t>
            </w:r>
            <w:r>
              <w:rPr>
                <w:rFonts w:hint="eastAsia" w:ascii="仿宋" w:hAnsi="仿宋" w:eastAsia="仿宋" w:cs="仿宋"/>
                <w:sz w:val="32"/>
                <w:szCs w:val="32"/>
              </w:rPr>
              <w:t>期内，出现突发鼠、蟑螂、蛇、蚁类等做到随叫随到。</w:t>
            </w:r>
          </w:p>
          <w:p w14:paraId="0EDE91A7">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9、按要求保证质量，按计划和要求完成约定区域内的消杀任务，并在规定时间内保证公共区域消杀达到《C级标准》；符合国家级卫生城市评审条件。</w:t>
            </w:r>
          </w:p>
          <w:p w14:paraId="03D4A317">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10、负责投药前后鼠、蟑、蝇、蚊密度监测。</w:t>
            </w:r>
          </w:p>
          <w:p w14:paraId="20C55167">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11、消杀期间，做好场所的清理工作（如填鼠洞，清理四害痕迹等）发现死鼠随时上门清理，并做好消毒工作。</w:t>
            </w:r>
          </w:p>
          <w:p w14:paraId="7ED30B2C">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12、白蚁、蚂蚁：全年进行防治及检查、监控，随时杀灭。</w:t>
            </w:r>
          </w:p>
          <w:p w14:paraId="36F8E1B3">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13、如果服务场所所需除四害药械超出合同范围，由中标方负责不足部分。</w:t>
            </w:r>
          </w:p>
          <w:p w14:paraId="1E57E46F">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14、作业车辆进出医院必须服从保卫科统一管理。 </w:t>
            </w:r>
          </w:p>
          <w:p w14:paraId="71C6678C">
            <w:pPr>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四、药物使用：</w:t>
            </w:r>
          </w:p>
          <w:p w14:paraId="1864CF62">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按规定选用和使用正规企业生产的药品和器械,保护环境，不使用高度药品和国家禁止在公共环境使用的药品，药物投放必须按照“五统一”（统一组织、统一培训、统一供药、统一时间、统一检查）和“三饱和”(时间饱和、空间饱和、药量饱和)的原则。对该项目所产生的废弃药物及包装物进行回收处理,在服务期间出现药物安全事故由中标方承担责任.</w:t>
            </w:r>
          </w:p>
          <w:p w14:paraId="32CC04CE">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2、消杀所用的一切药物均要留出样品，供业主进行药物检测，保证消杀用药符合国家要求，并保证药品的有效性。</w:t>
            </w:r>
          </w:p>
          <w:p w14:paraId="6D0A465A">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五、服务标准</w:t>
            </w:r>
          </w:p>
          <w:p w14:paraId="34E8BC3A">
            <w:pPr>
              <w:tabs>
                <w:tab w:val="left" w:pos="180"/>
                <w:tab w:val="left" w:pos="1620"/>
              </w:tabs>
              <w:adjustRightInd w:val="0"/>
              <w:snapToGrid w:val="0"/>
              <w:spacing w:line="360" w:lineRule="auto"/>
              <w:ind w:firstLine="320" w:firstLineChars="100"/>
              <w:jc w:val="left"/>
              <w:rPr>
                <w:rFonts w:hint="eastAsia" w:ascii="仿宋" w:hAnsi="仿宋" w:eastAsia="仿宋" w:cs="仿宋"/>
                <w:sz w:val="32"/>
                <w:szCs w:val="32"/>
              </w:rPr>
            </w:pPr>
            <w:r>
              <w:rPr>
                <w:rFonts w:hint="eastAsia" w:ascii="仿宋" w:hAnsi="仿宋" w:eastAsia="仿宋" w:cs="仿宋"/>
                <w:sz w:val="32"/>
                <w:szCs w:val="32"/>
              </w:rPr>
              <w:t>（一）“四害”：达到中华人民共和国国家GB/T27770-2011灭鼠、蚊、蝇、蟑螂密度（C级）</w:t>
            </w:r>
          </w:p>
          <w:p w14:paraId="38A8E86B">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1、病媒生密度控制水平——鼠类</w:t>
            </w:r>
          </w:p>
          <w:p w14:paraId="7A8EB6E5">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鼠迹阳性率小于或等于5％阳性路径指数（处/100m）小于或等于5处：</w:t>
            </w:r>
          </w:p>
          <w:p w14:paraId="7DBC7AFB">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2、病媒生密度制水平——蚊虫</w:t>
            </w:r>
          </w:p>
          <w:p w14:paraId="3E36344D">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小型积水蚊子幼虫路径指数（处/100m）小于或等于0.8处：大中型水体采样勺指数小于或等于5％平均每阳性勺少于8只蚊只虫幼虫或蛹；成蚊停落指数（30分/人）小于或等于1.5只；       </w:t>
            </w:r>
          </w:p>
          <w:p w14:paraId="5FFB90D8">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3、病媒生密度制水平——蝇类</w:t>
            </w:r>
          </w:p>
          <w:p w14:paraId="33BE2A58">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有蝇房间阳性率小于或等于9％</w:t>
            </w:r>
            <w:r>
              <w:rPr>
                <w:rFonts w:hint="eastAsia" w:ascii="仿宋" w:hAnsi="仿宋" w:eastAsia="仿宋" w:cs="仿宋"/>
                <w:sz w:val="32"/>
                <w:szCs w:val="32"/>
                <w:lang w:eastAsia="zh-CN"/>
              </w:rPr>
              <w:t>，</w:t>
            </w:r>
            <w:r>
              <w:rPr>
                <w:rFonts w:hint="eastAsia" w:ascii="仿宋" w:hAnsi="仿宋" w:eastAsia="仿宋" w:cs="仿宋"/>
                <w:sz w:val="32"/>
                <w:szCs w:val="32"/>
              </w:rPr>
              <w:t>阳性房间蝇密度小于或等于3只/间；室外蝇类滋生地阳性率小于或等于5％；</w:t>
            </w:r>
          </w:p>
          <w:p w14:paraId="1862F32B">
            <w:pPr>
              <w:tabs>
                <w:tab w:val="left" w:pos="180"/>
                <w:tab w:val="left" w:pos="1620"/>
              </w:tabs>
              <w:adjustRightInd w:val="0"/>
              <w:snapToGrid w:val="0"/>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rPr>
              <w:t>4、病媒生密度制水平——蜚蠊（蟑螂）</w:t>
            </w:r>
            <w:r>
              <w:rPr>
                <w:rFonts w:hint="eastAsia" w:ascii="仿宋" w:hAnsi="仿宋" w:eastAsia="仿宋" w:cs="仿宋"/>
                <w:sz w:val="32"/>
                <w:szCs w:val="32"/>
                <w:lang w:eastAsia="zh-CN"/>
              </w:rPr>
              <w:t>类</w:t>
            </w:r>
          </w:p>
          <w:p w14:paraId="11F5BBD7">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蟑螂成、幼虫侵害率小于或等于5%，平均每间房阳性小蠊小于或等于10只，大蠊小于或等于5只。</w:t>
            </w:r>
          </w:p>
          <w:p w14:paraId="4C26AE91">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蟑螂卵鞘查获率小于或等于3%，平均每间阳性房间（处）卵鞘数量小于或等于8只。</w:t>
            </w:r>
          </w:p>
          <w:p w14:paraId="6A71B43F">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蟑迹查获率小于或等于7%。</w:t>
            </w:r>
          </w:p>
          <w:p w14:paraId="221C18F1">
            <w:pPr>
              <w:tabs>
                <w:tab w:val="left" w:pos="180"/>
                <w:tab w:val="left" w:pos="1620"/>
              </w:tabs>
              <w:adjustRightInd w:val="0"/>
              <w:snapToGrid w:val="0"/>
              <w:spacing w:line="360" w:lineRule="auto"/>
              <w:ind w:firstLine="320" w:firstLineChars="100"/>
              <w:jc w:val="left"/>
              <w:rPr>
                <w:rFonts w:hint="eastAsia" w:ascii="仿宋" w:hAnsi="仿宋" w:eastAsia="仿宋" w:cs="仿宋"/>
                <w:sz w:val="32"/>
                <w:szCs w:val="32"/>
              </w:rPr>
            </w:pPr>
            <w:r>
              <w:rPr>
                <w:rFonts w:hint="eastAsia" w:ascii="仿宋" w:hAnsi="仿宋" w:eastAsia="仿宋" w:cs="仿宋"/>
                <w:sz w:val="32"/>
                <w:szCs w:val="32"/>
              </w:rPr>
              <w:t>（二）白蚁、蚂蚁、火蚁;蚁类全面消杀</w:t>
            </w:r>
          </w:p>
          <w:p w14:paraId="1A2611A2">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经过全面防治，白蚁、蚂蚁、红火蚁灭治率达到98%。</w:t>
            </w:r>
          </w:p>
          <w:p w14:paraId="44AB8880">
            <w:pPr>
              <w:spacing w:line="360" w:lineRule="auto"/>
              <w:jc w:val="left"/>
              <w:rPr>
                <w:rFonts w:hint="eastAsia" w:ascii="仿宋" w:hAnsi="仿宋" w:eastAsia="仿宋" w:cs="仿宋"/>
                <w:sz w:val="32"/>
                <w:szCs w:val="32"/>
              </w:rPr>
            </w:pPr>
            <w:r>
              <w:rPr>
                <w:rFonts w:hint="eastAsia" w:ascii="仿宋" w:hAnsi="仿宋" w:eastAsia="仿宋" w:cs="仿宋"/>
                <w:sz w:val="32"/>
                <w:szCs w:val="32"/>
              </w:rPr>
              <w:t>六、消杀技术要求：</w:t>
            </w:r>
          </w:p>
          <w:p w14:paraId="469749A4">
            <w:pPr>
              <w:spacing w:line="360" w:lineRule="auto"/>
              <w:jc w:val="left"/>
              <w:rPr>
                <w:rFonts w:hint="eastAsia" w:ascii="仿宋" w:hAnsi="仿宋" w:eastAsia="仿宋" w:cs="仿宋"/>
                <w:sz w:val="32"/>
                <w:szCs w:val="32"/>
              </w:rPr>
            </w:pPr>
            <w:r>
              <w:rPr>
                <w:rFonts w:hint="eastAsia" w:ascii="仿宋" w:hAnsi="仿宋" w:eastAsia="仿宋" w:cs="仿宋"/>
                <w:sz w:val="32"/>
                <w:szCs w:val="32"/>
              </w:rPr>
              <w:t>(1)竞标文件中提交满足质量标准的可行消杀技术及实施方案。投标人在投标文件中提供投标人企业介绍（包括但不限于：目前所管辖物业情况介绍）、服务方案（包括但不限于：体现投标人对投标</w:t>
            </w:r>
            <w:r>
              <w:rPr>
                <w:rFonts w:hint="eastAsia" w:ascii="仿宋" w:hAnsi="仿宋" w:eastAsia="仿宋" w:cs="仿宋"/>
                <w:sz w:val="32"/>
                <w:szCs w:val="32"/>
                <w:lang w:eastAsia="zh-CN"/>
              </w:rPr>
              <w:t>服务</w:t>
            </w:r>
            <w:r>
              <w:rPr>
                <w:rFonts w:hint="eastAsia" w:ascii="仿宋" w:hAnsi="仿宋" w:eastAsia="仿宋" w:cs="仿宋"/>
                <w:sz w:val="32"/>
                <w:szCs w:val="32"/>
              </w:rPr>
              <w:t>的总体目标，即在一定期限内质量管理达到何种标准；投标人拟采取的管理方式，包括内部管理架构设置、工艺流程、信息反馈处理机制、员工待遇、激励机制等）、人员配备方案（管理人员及员工配备。包括但不限于：人员的编制、配置情况，素质要求（学历、能力、经历），有培训计划、上岗考核标准等）。</w:t>
            </w:r>
          </w:p>
          <w:p w14:paraId="438E9420">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(2)竞际文件中提交服务期内的相关突发事件应急预案．</w:t>
            </w:r>
          </w:p>
          <w:p w14:paraId="0FB71A9A">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(3)竞标文件中提交开展消杀后的质最控制方案及保障措施。</w:t>
            </w:r>
          </w:p>
          <w:p w14:paraId="5115C2AC">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(4)竞标人应具备足够的各类施工及技术人员、器械、车辆等．投入的专业技术人员应持有相应的技术等级证书，其中项目负责人应具备大专以上学历以及有害生物防制员三级证书。</w:t>
            </w:r>
          </w:p>
          <w:p w14:paraId="5B6D379D">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(5)竞标人应充分利用各种有效的常规或创新的消杀技术、方法或装置以及过往同类项目经验，安全、环保、高效地完成本项目消杀工作，达到消杀质量标准。</w:t>
            </w:r>
          </w:p>
          <w:p w14:paraId="685310B8">
            <w:pPr>
              <w:pStyle w:val="2"/>
              <w:spacing w:line="360" w:lineRule="auto"/>
              <w:jc w:val="left"/>
              <w:rPr>
                <w:rFonts w:hint="eastAsia" w:ascii="仿宋" w:hAnsi="仿宋" w:eastAsia="仿宋" w:cs="仿宋"/>
                <w:sz w:val="32"/>
                <w:szCs w:val="32"/>
              </w:rPr>
            </w:pPr>
            <w:r>
              <w:rPr>
                <w:rFonts w:hint="eastAsia" w:ascii="仿宋" w:hAnsi="仿宋" w:eastAsia="仿宋" w:cs="仿宋"/>
                <w:sz w:val="32"/>
                <w:szCs w:val="32"/>
              </w:rPr>
              <w:t>(6)不同环境控制的病媒体用药符合本项目用药要求．</w:t>
            </w:r>
          </w:p>
        </w:tc>
      </w:tr>
      <w:tr w14:paraId="0E7BC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9219" w:type="dxa"/>
            <w:gridSpan w:val="4"/>
            <w:tcBorders>
              <w:top w:val="single" w:color="auto" w:sz="4" w:space="0"/>
              <w:left w:val="single" w:color="auto" w:sz="4" w:space="0"/>
              <w:bottom w:val="single" w:color="auto" w:sz="4" w:space="0"/>
              <w:right w:val="single" w:color="auto" w:sz="4" w:space="0"/>
            </w:tcBorders>
            <w:vAlign w:val="center"/>
          </w:tcPr>
          <w:p w14:paraId="1B04CF25">
            <w:pPr>
              <w:rPr>
                <w:rFonts w:hint="eastAsia" w:ascii="仿宋" w:hAnsi="仿宋" w:eastAsia="仿宋" w:cs="仿宋"/>
                <w:sz w:val="32"/>
                <w:szCs w:val="32"/>
              </w:rPr>
            </w:pPr>
            <w:r>
              <w:rPr>
                <w:rFonts w:hint="eastAsia" w:ascii="仿宋" w:hAnsi="仿宋" w:eastAsia="仿宋" w:cs="仿宋"/>
                <w:sz w:val="32"/>
                <w:szCs w:val="32"/>
              </w:rPr>
              <w:t>二、商务要求表</w:t>
            </w:r>
          </w:p>
        </w:tc>
      </w:tr>
      <w:tr w14:paraId="44C8F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835" w:type="dxa"/>
            <w:gridSpan w:val="3"/>
            <w:tcBorders>
              <w:top w:val="single" w:color="auto" w:sz="4" w:space="0"/>
              <w:left w:val="single" w:color="auto" w:sz="4" w:space="0"/>
              <w:bottom w:val="single" w:color="auto" w:sz="4" w:space="0"/>
              <w:right w:val="single" w:color="auto" w:sz="4" w:space="0"/>
            </w:tcBorders>
            <w:vAlign w:val="center"/>
          </w:tcPr>
          <w:p w14:paraId="55C7A155">
            <w:pPr>
              <w:jc w:val="center"/>
              <w:rPr>
                <w:rFonts w:hint="eastAsia" w:ascii="仿宋" w:hAnsi="仿宋" w:eastAsia="仿宋" w:cs="仿宋"/>
                <w:sz w:val="32"/>
                <w:szCs w:val="32"/>
              </w:rPr>
            </w:pPr>
            <w:r>
              <w:rPr>
                <w:rFonts w:hint="eastAsia" w:ascii="仿宋" w:hAnsi="仿宋" w:eastAsia="仿宋" w:cs="仿宋"/>
                <w:kern w:val="2"/>
                <w:sz w:val="32"/>
                <w:szCs w:val="32"/>
                <w:lang w:val="en-US" w:eastAsia="zh-CN" w:bidi="ar"/>
                <w:woUserID w:val="1"/>
              </w:rPr>
              <w:t>▲</w:t>
            </w:r>
            <w:r>
              <w:rPr>
                <w:rFonts w:hint="eastAsia" w:ascii="仿宋" w:hAnsi="仿宋" w:eastAsia="仿宋" w:cs="仿宋"/>
                <w:sz w:val="32"/>
                <w:szCs w:val="32"/>
              </w:rPr>
              <w:t>报价要求</w:t>
            </w:r>
          </w:p>
        </w:tc>
        <w:tc>
          <w:tcPr>
            <w:tcW w:w="6384" w:type="dxa"/>
            <w:tcBorders>
              <w:top w:val="single" w:color="auto" w:sz="4" w:space="0"/>
              <w:left w:val="single" w:color="auto" w:sz="4" w:space="0"/>
              <w:bottom w:val="single" w:color="auto" w:sz="4" w:space="0"/>
              <w:right w:val="single" w:color="auto" w:sz="4" w:space="0"/>
            </w:tcBorders>
            <w:vAlign w:val="center"/>
          </w:tcPr>
          <w:p w14:paraId="3D56EC55">
            <w:pPr>
              <w:rPr>
                <w:rFonts w:hint="eastAsia" w:ascii="仿宋" w:hAnsi="仿宋" w:eastAsia="仿宋" w:cs="仿宋"/>
                <w:sz w:val="32"/>
                <w:szCs w:val="32"/>
              </w:rPr>
            </w:pPr>
            <w:r>
              <w:rPr>
                <w:rFonts w:hint="eastAsia" w:ascii="仿宋" w:hAnsi="仿宋" w:eastAsia="仿宋" w:cs="仿宋"/>
                <w:sz w:val="32"/>
                <w:szCs w:val="32"/>
              </w:rPr>
              <w:t>本项目实行总承包报价，磋商报价必须含以下部分，采购人不再支付成交价格以外的任何费用。包括：</w:t>
            </w:r>
          </w:p>
          <w:p w14:paraId="0F8931C5">
            <w:pPr>
              <w:rPr>
                <w:rFonts w:hint="eastAsia" w:ascii="仿宋" w:hAnsi="仿宋" w:eastAsia="仿宋" w:cs="仿宋"/>
                <w:sz w:val="32"/>
                <w:szCs w:val="32"/>
              </w:rPr>
            </w:pPr>
            <w:r>
              <w:rPr>
                <w:rFonts w:hint="eastAsia" w:ascii="仿宋" w:hAnsi="仿宋" w:eastAsia="仿宋" w:cs="仿宋"/>
                <w:sz w:val="32"/>
                <w:szCs w:val="32"/>
              </w:rPr>
              <w:t>(1)服务及药物的价格；</w:t>
            </w:r>
          </w:p>
          <w:p w14:paraId="0A347E22">
            <w:pPr>
              <w:rPr>
                <w:rFonts w:hint="eastAsia" w:ascii="仿宋" w:hAnsi="仿宋" w:eastAsia="仿宋" w:cs="仿宋"/>
                <w:sz w:val="32"/>
                <w:szCs w:val="32"/>
              </w:rPr>
            </w:pPr>
            <w:r>
              <w:rPr>
                <w:rFonts w:hint="eastAsia" w:ascii="仿宋" w:hAnsi="仿宋" w:eastAsia="仿宋" w:cs="仿宋"/>
                <w:sz w:val="32"/>
                <w:szCs w:val="32"/>
              </w:rPr>
              <w:t>(2)必要的保险费用和各项税金；</w:t>
            </w:r>
          </w:p>
          <w:p w14:paraId="2E007C07">
            <w:pPr>
              <w:rPr>
                <w:rFonts w:hint="eastAsia" w:ascii="仿宋" w:hAnsi="仿宋" w:eastAsia="仿宋" w:cs="仿宋"/>
                <w:sz w:val="32"/>
                <w:szCs w:val="32"/>
              </w:rPr>
            </w:pPr>
            <w:r>
              <w:rPr>
                <w:rFonts w:hint="eastAsia" w:ascii="仿宋" w:hAnsi="仿宋" w:eastAsia="仿宋" w:cs="仿宋"/>
                <w:sz w:val="32"/>
                <w:szCs w:val="32"/>
              </w:rPr>
              <w:t>(3)售后服务费、运输费、投药服务费、包器械、包服务、培训、技术支持、包达标等全部费用。</w:t>
            </w:r>
          </w:p>
          <w:p w14:paraId="655AEF0C">
            <w:pPr>
              <w:rPr>
                <w:rFonts w:hint="eastAsia" w:ascii="仿宋" w:hAnsi="仿宋" w:eastAsia="仿宋" w:cs="仿宋"/>
                <w:sz w:val="32"/>
                <w:szCs w:val="32"/>
              </w:rPr>
            </w:pPr>
            <w:r>
              <w:rPr>
                <w:rFonts w:hint="eastAsia" w:ascii="仿宋" w:hAnsi="仿宋" w:eastAsia="仿宋" w:cs="仿宋"/>
                <w:sz w:val="32"/>
                <w:szCs w:val="32"/>
              </w:rPr>
              <w:t>(4)、采购项目预算金额（人民币）：</w:t>
            </w:r>
            <w:r>
              <w:rPr>
                <w:rFonts w:hint="eastAsia" w:ascii="仿宋" w:hAnsi="仿宋" w:eastAsia="仿宋" w:cs="仿宋"/>
                <w:sz w:val="32"/>
                <w:szCs w:val="32"/>
                <w:lang w:val="en-US" w:eastAsia="zh-CN"/>
              </w:rPr>
              <w:t>3.3</w:t>
            </w:r>
            <w:r>
              <w:rPr>
                <w:rFonts w:hint="eastAsia" w:ascii="仿宋" w:hAnsi="仿宋" w:eastAsia="仿宋" w:cs="仿宋"/>
                <w:sz w:val="32"/>
                <w:szCs w:val="32"/>
              </w:rPr>
              <w:t>万元／年</w:t>
            </w:r>
            <w:r>
              <w:rPr>
                <w:rFonts w:hint="eastAsia" w:ascii="仿宋" w:hAnsi="仿宋" w:eastAsia="仿宋" w:cs="仿宋"/>
                <w:sz w:val="32"/>
                <w:szCs w:val="32"/>
                <w:lang w:eastAsia="zh-CN"/>
              </w:rPr>
              <w:t>，</w:t>
            </w:r>
            <w:r>
              <w:rPr>
                <w:rFonts w:hint="eastAsia" w:ascii="仿宋" w:hAnsi="仿宋" w:eastAsia="仿宋" w:cs="仿宋"/>
                <w:color w:val="FF0000"/>
                <w:sz w:val="32"/>
                <w:szCs w:val="32"/>
                <w:lang w:eastAsia="zh-CN"/>
              </w:rPr>
              <w:t>三年合计</w:t>
            </w:r>
            <w:r>
              <w:rPr>
                <w:rFonts w:hint="eastAsia" w:ascii="仿宋" w:hAnsi="仿宋" w:eastAsia="仿宋" w:cs="仿宋"/>
                <w:color w:val="FF0000"/>
                <w:sz w:val="32"/>
                <w:szCs w:val="32"/>
                <w:lang w:val="en-US" w:eastAsia="zh-CN"/>
              </w:rPr>
              <w:t>9.9万元。</w:t>
            </w:r>
          </w:p>
        </w:tc>
      </w:tr>
      <w:tr w14:paraId="7157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835" w:type="dxa"/>
            <w:gridSpan w:val="3"/>
            <w:tcBorders>
              <w:top w:val="single" w:color="auto" w:sz="4" w:space="0"/>
              <w:left w:val="single" w:color="auto" w:sz="4" w:space="0"/>
              <w:bottom w:val="single" w:color="auto" w:sz="4" w:space="0"/>
              <w:right w:val="single" w:color="auto" w:sz="4" w:space="0"/>
            </w:tcBorders>
            <w:vAlign w:val="center"/>
          </w:tcPr>
          <w:p w14:paraId="3634D79F">
            <w:pPr>
              <w:jc w:val="center"/>
              <w:rPr>
                <w:rFonts w:hint="eastAsia" w:ascii="仿宋" w:hAnsi="仿宋" w:eastAsia="仿宋" w:cs="仿宋"/>
                <w:sz w:val="32"/>
                <w:szCs w:val="32"/>
              </w:rPr>
            </w:pPr>
            <w:r>
              <w:rPr>
                <w:rFonts w:hint="eastAsia" w:ascii="仿宋" w:hAnsi="仿宋" w:eastAsia="仿宋" w:cs="仿宋"/>
                <w:kern w:val="2"/>
                <w:sz w:val="32"/>
                <w:szCs w:val="32"/>
                <w:lang w:val="en-US" w:eastAsia="zh-CN" w:bidi="ar"/>
                <w:woUserID w:val="1"/>
              </w:rPr>
              <w:t>▲</w:t>
            </w:r>
            <w:r>
              <w:rPr>
                <w:rFonts w:hint="eastAsia" w:ascii="仿宋" w:hAnsi="仿宋" w:eastAsia="仿宋" w:cs="仿宋"/>
                <w:sz w:val="32"/>
                <w:szCs w:val="32"/>
              </w:rPr>
              <w:t>质量要求及</w:t>
            </w:r>
            <w:r>
              <w:rPr>
                <w:rFonts w:hint="eastAsia" w:ascii="仿宋" w:hAnsi="仿宋" w:eastAsia="仿宋" w:cs="仿宋"/>
                <w:sz w:val="32"/>
                <w:szCs w:val="32"/>
              </w:rPr>
              <w:br w:type="textWrapping"/>
            </w:r>
            <w:r>
              <w:rPr>
                <w:rFonts w:hint="eastAsia" w:ascii="仿宋" w:hAnsi="仿宋" w:eastAsia="仿宋" w:cs="仿宋"/>
                <w:sz w:val="32"/>
                <w:szCs w:val="32"/>
              </w:rPr>
              <w:t>验收标准</w:t>
            </w:r>
          </w:p>
        </w:tc>
        <w:tc>
          <w:tcPr>
            <w:tcW w:w="6384" w:type="dxa"/>
            <w:tcBorders>
              <w:top w:val="single" w:color="auto" w:sz="4" w:space="0"/>
              <w:left w:val="single" w:color="auto" w:sz="4" w:space="0"/>
              <w:bottom w:val="single" w:color="auto" w:sz="4" w:space="0"/>
              <w:right w:val="single" w:color="auto" w:sz="4" w:space="0"/>
            </w:tcBorders>
            <w:vAlign w:val="center"/>
          </w:tcPr>
          <w:p w14:paraId="5DEC9D5C">
            <w:pPr>
              <w:numPr>
                <w:ilvl w:val="0"/>
                <w:numId w:val="5"/>
              </w:numPr>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病媒生物密度控制水平中华人民共和国国家标准》灭鼠、蚊、蝇、蟑螂达B级标准；消杀验收采用病媒生物密度监测方法鼠类(GB/T23798_2009、病媒生物密度监测方法蟑螂GB/T23795-2009、病媒生物密度密度监测方法蝇类GB/T23796-2009、病媒生物密度监测方法蚊类GB/T23797-2009。</w:t>
            </w:r>
          </w:p>
          <w:p w14:paraId="53E27CD5">
            <w:pPr>
              <w:numPr>
                <w:ilvl w:val="0"/>
                <w:numId w:val="5"/>
              </w:numPr>
              <w:ind w:left="480" w:leftChars="0" w:firstLine="0" w:firstLineChars="0"/>
              <w:rPr>
                <w:rFonts w:hint="eastAsia" w:ascii="仿宋" w:hAnsi="仿宋" w:eastAsia="仿宋" w:cs="仿宋"/>
                <w:sz w:val="32"/>
                <w:szCs w:val="32"/>
              </w:rPr>
            </w:pPr>
            <w:r>
              <w:rPr>
                <w:rFonts w:hint="eastAsia" w:ascii="仿宋" w:hAnsi="仿宋" w:eastAsia="仿宋" w:cs="仿宋"/>
                <w:color w:val="FF0000"/>
                <w:sz w:val="32"/>
                <w:szCs w:val="32"/>
              </w:rPr>
              <w:t>服务合同期间，出现老鼠2只（10米内）</w:t>
            </w:r>
            <w:r>
              <w:rPr>
                <w:rFonts w:hint="eastAsia" w:ascii="仿宋" w:hAnsi="仿宋" w:eastAsia="仿宋" w:cs="仿宋"/>
                <w:color w:val="FF0000"/>
                <w:sz w:val="32"/>
                <w:szCs w:val="32"/>
                <w:lang w:eastAsia="zh-CN"/>
              </w:rPr>
              <w:t>或</w:t>
            </w:r>
            <w:r>
              <w:rPr>
                <w:rFonts w:hint="eastAsia" w:ascii="仿宋" w:hAnsi="仿宋" w:eastAsia="仿宋" w:cs="仿宋"/>
                <w:color w:val="FF0000"/>
                <w:sz w:val="32"/>
                <w:szCs w:val="32"/>
              </w:rPr>
              <w:t>蟑螂5只以上（2米内)</w:t>
            </w:r>
            <w:r>
              <w:rPr>
                <w:rFonts w:hint="eastAsia" w:ascii="仿宋" w:hAnsi="仿宋" w:eastAsia="仿宋" w:cs="仿宋"/>
                <w:color w:val="FF0000"/>
                <w:sz w:val="32"/>
                <w:szCs w:val="32"/>
                <w:lang w:eastAsia="zh-CN"/>
              </w:rPr>
              <w:t>，限期整改一次仍未达不到防止效果的，视情节严重情况，</w:t>
            </w:r>
            <w:r>
              <w:rPr>
                <w:rFonts w:hint="eastAsia" w:ascii="仿宋" w:hAnsi="仿宋" w:eastAsia="仿宋" w:cs="仿宋"/>
                <w:color w:val="FF0000"/>
                <w:sz w:val="32"/>
                <w:szCs w:val="32"/>
              </w:rPr>
              <w:t>扣除服务费500元；“四害”、蛇、蚁类等达不到消杀防制服务效果的，接到科室或病人投诉</w:t>
            </w:r>
            <w:r>
              <w:rPr>
                <w:rFonts w:hint="eastAsia" w:ascii="仿宋" w:hAnsi="仿宋" w:eastAsia="仿宋" w:cs="仿宋"/>
                <w:color w:val="FF0000"/>
                <w:sz w:val="32"/>
                <w:szCs w:val="32"/>
                <w:lang w:eastAsia="zh-CN"/>
              </w:rPr>
              <w:t>，限期整改一次仍未达不到防止效果的，视情节严重情况，</w:t>
            </w:r>
            <w:r>
              <w:rPr>
                <w:rFonts w:hint="eastAsia" w:ascii="仿宋" w:hAnsi="仿宋" w:eastAsia="仿宋" w:cs="仿宋"/>
                <w:color w:val="FF0000"/>
                <w:sz w:val="32"/>
                <w:szCs w:val="32"/>
              </w:rPr>
              <w:t>扣除服务费</w:t>
            </w: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00元至300元不等。</w:t>
            </w:r>
          </w:p>
        </w:tc>
      </w:tr>
      <w:tr w14:paraId="0188F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9219" w:type="dxa"/>
            <w:gridSpan w:val="4"/>
            <w:tcBorders>
              <w:top w:val="single" w:color="auto" w:sz="4" w:space="0"/>
              <w:left w:val="single" w:color="auto" w:sz="4" w:space="0"/>
              <w:bottom w:val="single" w:color="auto" w:sz="4" w:space="0"/>
              <w:right w:val="single" w:color="auto" w:sz="4" w:space="0"/>
            </w:tcBorders>
            <w:vAlign w:val="center"/>
          </w:tcPr>
          <w:p w14:paraId="07EAF097">
            <w:pPr>
              <w:rPr>
                <w:rFonts w:hint="eastAsia" w:ascii="仿宋" w:hAnsi="仿宋" w:eastAsia="仿宋" w:cs="仿宋"/>
                <w:sz w:val="32"/>
                <w:szCs w:val="32"/>
              </w:rPr>
            </w:pPr>
            <w:r>
              <w:rPr>
                <w:rFonts w:hint="eastAsia" w:ascii="仿宋" w:hAnsi="仿宋" w:eastAsia="仿宋" w:cs="仿宋"/>
                <w:sz w:val="32"/>
                <w:szCs w:val="32"/>
              </w:rPr>
              <w:t>三、其它要求</w:t>
            </w:r>
          </w:p>
        </w:tc>
      </w:tr>
      <w:tr w14:paraId="68FD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835" w:type="dxa"/>
            <w:gridSpan w:val="3"/>
            <w:tcBorders>
              <w:top w:val="single" w:color="auto" w:sz="4" w:space="0"/>
              <w:left w:val="single" w:color="auto" w:sz="4" w:space="0"/>
              <w:bottom w:val="single" w:color="auto" w:sz="4" w:space="0"/>
              <w:right w:val="single" w:color="auto" w:sz="4" w:space="0"/>
            </w:tcBorders>
            <w:vAlign w:val="center"/>
          </w:tcPr>
          <w:p w14:paraId="145105CB">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t>售后服务</w:t>
            </w:r>
          </w:p>
        </w:tc>
        <w:tc>
          <w:tcPr>
            <w:tcW w:w="6384" w:type="dxa"/>
            <w:tcBorders>
              <w:top w:val="single" w:color="auto" w:sz="4" w:space="0"/>
              <w:left w:val="single" w:color="auto" w:sz="4" w:space="0"/>
              <w:bottom w:val="single" w:color="auto" w:sz="4" w:space="0"/>
              <w:right w:val="single" w:color="auto" w:sz="4" w:space="0"/>
            </w:tcBorders>
            <w:vAlign w:val="center"/>
          </w:tcPr>
          <w:p w14:paraId="6CDCB9DE">
            <w:pPr>
              <w:rPr>
                <w:rFonts w:hint="eastAsia" w:ascii="仿宋" w:hAnsi="仿宋" w:eastAsia="仿宋" w:cs="仿宋"/>
                <w:sz w:val="32"/>
                <w:szCs w:val="32"/>
              </w:rPr>
            </w:pPr>
            <w:r>
              <w:rPr>
                <w:rFonts w:hint="eastAsia" w:ascii="仿宋" w:hAnsi="仿宋" w:eastAsia="仿宋" w:cs="仿宋"/>
                <w:sz w:val="32"/>
                <w:szCs w:val="32"/>
              </w:rPr>
              <w:t>接采购人服务通知立即响应，4小时内到达指定现场进行处理，重大问题或其它无法迅速解决的问题应在24小时内解决。</w:t>
            </w:r>
          </w:p>
        </w:tc>
      </w:tr>
      <w:tr w14:paraId="6760C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835" w:type="dxa"/>
            <w:gridSpan w:val="3"/>
            <w:tcBorders>
              <w:top w:val="single" w:color="auto" w:sz="4" w:space="0"/>
              <w:left w:val="single" w:color="auto" w:sz="4" w:space="0"/>
              <w:bottom w:val="single" w:color="auto" w:sz="4" w:space="0"/>
              <w:right w:val="single" w:color="auto" w:sz="4" w:space="0"/>
            </w:tcBorders>
            <w:vAlign w:val="center"/>
          </w:tcPr>
          <w:p w14:paraId="756A9293">
            <w:pPr>
              <w:pStyle w:val="2"/>
              <w:rPr>
                <w:rFonts w:hint="eastAsia" w:ascii="仿宋" w:hAnsi="仿宋" w:eastAsia="仿宋" w:cs="仿宋"/>
                <w:sz w:val="32"/>
                <w:szCs w:val="32"/>
              </w:rPr>
            </w:pPr>
            <w:r>
              <w:rPr>
                <w:rFonts w:hint="eastAsia" w:ascii="仿宋" w:hAnsi="仿宋" w:eastAsia="仿宋" w:cs="仿宋"/>
                <w:kern w:val="2"/>
                <w:sz w:val="32"/>
                <w:szCs w:val="32"/>
                <w:lang w:val="en-US" w:eastAsia="zh-CN" w:bidi="ar"/>
                <w:woUserID w:val="1"/>
              </w:rPr>
              <w:t>▲</w:t>
            </w:r>
            <w:r>
              <w:rPr>
                <w:rFonts w:hint="eastAsia" w:ascii="仿宋" w:hAnsi="仿宋" w:eastAsia="仿宋" w:cs="仿宋"/>
                <w:sz w:val="32"/>
                <w:szCs w:val="32"/>
              </w:rPr>
              <w:t>项目服务期限及项目成果交付地点</w:t>
            </w:r>
          </w:p>
          <w:p w14:paraId="502A6CF9">
            <w:pPr>
              <w:jc w:val="center"/>
              <w:rPr>
                <w:rFonts w:hint="eastAsia" w:ascii="仿宋" w:hAnsi="仿宋" w:eastAsia="仿宋" w:cs="仿宋"/>
                <w:sz w:val="32"/>
                <w:szCs w:val="32"/>
              </w:rPr>
            </w:pPr>
          </w:p>
        </w:tc>
        <w:tc>
          <w:tcPr>
            <w:tcW w:w="6384" w:type="dxa"/>
            <w:tcBorders>
              <w:top w:val="single" w:color="auto" w:sz="4" w:space="0"/>
              <w:left w:val="single" w:color="auto" w:sz="4" w:space="0"/>
              <w:bottom w:val="single" w:color="auto" w:sz="4" w:space="0"/>
              <w:right w:val="single" w:color="auto" w:sz="4" w:space="0"/>
            </w:tcBorders>
            <w:vAlign w:val="center"/>
          </w:tcPr>
          <w:p w14:paraId="42FEA586">
            <w:pPr>
              <w:rPr>
                <w:rFonts w:hint="eastAsia" w:ascii="仿宋" w:hAnsi="仿宋" w:eastAsia="仿宋" w:cs="仿宋"/>
                <w:sz w:val="32"/>
                <w:szCs w:val="32"/>
              </w:rPr>
            </w:pPr>
            <w:r>
              <w:rPr>
                <w:rFonts w:hint="eastAsia" w:ascii="仿宋" w:hAnsi="仿宋" w:eastAsia="仿宋" w:cs="仿宋"/>
                <w:sz w:val="32"/>
                <w:szCs w:val="32"/>
              </w:rPr>
              <w:t>l、项目服务期限：</w:t>
            </w:r>
            <w:r>
              <w:rPr>
                <w:rFonts w:hint="eastAsia" w:ascii="仿宋" w:hAnsi="仿宋" w:eastAsia="仿宋" w:cs="仿宋"/>
                <w:color w:val="FF0000"/>
                <w:sz w:val="32"/>
                <w:szCs w:val="32"/>
                <w:lang w:val="en-US" w:eastAsia="zh-CN"/>
              </w:rPr>
              <w:t>202</w:t>
            </w:r>
            <w:r>
              <w:rPr>
                <w:rFonts w:hint="default" w:ascii="仿宋" w:hAnsi="仿宋" w:eastAsia="仿宋" w:cs="仿宋"/>
                <w:color w:val="FF0000"/>
                <w:sz w:val="32"/>
                <w:szCs w:val="32"/>
                <w:lang w:eastAsia="zh-CN"/>
                <w:woUserID w:val="1"/>
              </w:rPr>
              <w:t>5</w:t>
            </w:r>
            <w:r>
              <w:rPr>
                <w:rFonts w:hint="eastAsia" w:ascii="仿宋" w:hAnsi="仿宋" w:eastAsia="仿宋" w:cs="仿宋"/>
                <w:color w:val="FF0000"/>
                <w:sz w:val="32"/>
                <w:szCs w:val="32"/>
                <w:lang w:val="en-US" w:eastAsia="zh-CN"/>
              </w:rPr>
              <w:t>年3月1日-202</w:t>
            </w:r>
            <w:r>
              <w:rPr>
                <w:rFonts w:hint="default" w:ascii="仿宋" w:hAnsi="仿宋" w:eastAsia="仿宋" w:cs="仿宋"/>
                <w:color w:val="FF0000"/>
                <w:sz w:val="32"/>
                <w:szCs w:val="32"/>
                <w:lang w:eastAsia="zh-CN"/>
                <w:woUserID w:val="1"/>
              </w:rPr>
              <w:t>7</w:t>
            </w:r>
            <w:r>
              <w:rPr>
                <w:rFonts w:hint="eastAsia" w:ascii="仿宋" w:hAnsi="仿宋" w:eastAsia="仿宋" w:cs="仿宋"/>
                <w:color w:val="FF0000"/>
                <w:sz w:val="32"/>
                <w:szCs w:val="32"/>
                <w:lang w:val="en-US" w:eastAsia="zh-CN"/>
              </w:rPr>
              <w:t>年2月28</w:t>
            </w:r>
            <w:bookmarkStart w:id="0" w:name="_GoBack"/>
            <w:bookmarkEnd w:id="0"/>
            <w:r>
              <w:rPr>
                <w:rFonts w:hint="eastAsia" w:ascii="仿宋" w:hAnsi="仿宋" w:eastAsia="仿宋" w:cs="仿宋"/>
                <w:color w:val="FF0000"/>
                <w:sz w:val="32"/>
                <w:szCs w:val="32"/>
                <w:lang w:val="en-US" w:eastAsia="zh-CN"/>
              </w:rPr>
              <w:t>日</w:t>
            </w:r>
            <w:r>
              <w:rPr>
                <w:rFonts w:hint="eastAsia" w:ascii="仿宋" w:hAnsi="仿宋" w:eastAsia="仿宋" w:cs="仿宋"/>
                <w:sz w:val="32"/>
                <w:szCs w:val="32"/>
              </w:rPr>
              <w:t xml:space="preserve">。             </w:t>
            </w:r>
          </w:p>
          <w:p w14:paraId="0EA2961B">
            <w:pPr>
              <w:rPr>
                <w:rFonts w:hint="eastAsia" w:ascii="仿宋" w:hAnsi="仿宋" w:eastAsia="仿宋" w:cs="仿宋"/>
                <w:sz w:val="32"/>
                <w:szCs w:val="32"/>
              </w:rPr>
            </w:pPr>
            <w:r>
              <w:rPr>
                <w:rFonts w:hint="eastAsia" w:ascii="仿宋" w:hAnsi="仿宋" w:eastAsia="仿宋" w:cs="仿宋"/>
                <w:sz w:val="32"/>
                <w:szCs w:val="32"/>
              </w:rPr>
              <w:t>2、项目成果交付地点：采购单位指定地点</w:t>
            </w:r>
          </w:p>
        </w:tc>
      </w:tr>
      <w:tr w14:paraId="7F218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835" w:type="dxa"/>
            <w:gridSpan w:val="3"/>
            <w:tcBorders>
              <w:top w:val="single" w:color="auto" w:sz="4" w:space="0"/>
              <w:left w:val="single" w:color="auto" w:sz="4" w:space="0"/>
              <w:bottom w:val="single" w:color="auto" w:sz="4" w:space="0"/>
              <w:right w:val="single" w:color="auto" w:sz="4" w:space="0"/>
            </w:tcBorders>
            <w:vAlign w:val="center"/>
          </w:tcPr>
          <w:p w14:paraId="7BFEDFE2">
            <w:pPr>
              <w:jc w:val="center"/>
              <w:rPr>
                <w:rFonts w:hint="eastAsia" w:ascii="仿宋" w:hAnsi="仿宋" w:eastAsia="仿宋" w:cs="仿宋"/>
                <w:sz w:val="32"/>
                <w:szCs w:val="32"/>
              </w:rPr>
            </w:pPr>
            <w:r>
              <w:rPr>
                <w:rFonts w:hint="eastAsia" w:ascii="仿宋" w:hAnsi="仿宋" w:eastAsia="仿宋" w:cs="仿宋"/>
                <w:sz w:val="32"/>
                <w:szCs w:val="32"/>
              </w:rPr>
              <w:t>付款条件</w:t>
            </w:r>
          </w:p>
        </w:tc>
        <w:tc>
          <w:tcPr>
            <w:tcW w:w="6384" w:type="dxa"/>
            <w:tcBorders>
              <w:top w:val="single" w:color="auto" w:sz="4" w:space="0"/>
              <w:left w:val="single" w:color="auto" w:sz="4" w:space="0"/>
              <w:bottom w:val="single" w:color="auto" w:sz="4" w:space="0"/>
              <w:right w:val="single" w:color="auto" w:sz="4" w:space="0"/>
            </w:tcBorders>
            <w:vAlign w:val="center"/>
          </w:tcPr>
          <w:p w14:paraId="4DDDC328">
            <w:pPr>
              <w:rPr>
                <w:rFonts w:hint="eastAsia" w:ascii="仿宋" w:hAnsi="仿宋" w:eastAsia="仿宋" w:cs="仿宋"/>
                <w:sz w:val="32"/>
                <w:szCs w:val="32"/>
              </w:rPr>
            </w:pPr>
            <w:r>
              <w:rPr>
                <w:rFonts w:hint="eastAsia" w:ascii="仿宋" w:hAnsi="仿宋" w:eastAsia="仿宋" w:cs="仿宋"/>
                <w:sz w:val="32"/>
                <w:szCs w:val="32"/>
              </w:rPr>
              <w:t>本项目无预付款，按季度付款，即:本季度消杀工作完成后，供应商需先开具支付款项的全额发票给采购人，经采购人核实后</w:t>
            </w:r>
            <w:r>
              <w:rPr>
                <w:rFonts w:hint="eastAsia" w:ascii="仿宋" w:hAnsi="仿宋" w:eastAsia="仿宋" w:cs="仿宋"/>
                <w:color w:val="FF0000"/>
                <w:sz w:val="32"/>
                <w:szCs w:val="32"/>
                <w:lang w:val="en-US" w:eastAsia="zh-CN"/>
              </w:rPr>
              <w:t>3个月内</w:t>
            </w:r>
            <w:r>
              <w:rPr>
                <w:rFonts w:hint="eastAsia" w:ascii="仿宋" w:hAnsi="仿宋" w:eastAsia="仿宋" w:cs="仿宋"/>
                <w:sz w:val="32"/>
                <w:szCs w:val="32"/>
              </w:rPr>
              <w:t>将款项转入供应商账户。</w:t>
            </w:r>
          </w:p>
        </w:tc>
      </w:tr>
    </w:tbl>
    <w:p w14:paraId="1931A1F8">
      <w:pPr>
        <w:keepNext w:val="0"/>
        <w:keepLines w:val="0"/>
        <w:pageBreakBefore w:val="0"/>
        <w:widowControl w:val="0"/>
        <w:tabs>
          <w:tab w:val="left" w:pos="180"/>
          <w:tab w:val="left" w:pos="1620"/>
        </w:tabs>
        <w:wordWrap/>
        <w:topLinePunct w:val="0"/>
        <w:autoSpaceDE/>
        <w:autoSpaceDN/>
        <w:bidi w:val="0"/>
        <w:adjustRightInd/>
        <w:spacing w:line="240" w:lineRule="auto"/>
        <w:jc w:val="left"/>
        <w:textAlignment w:val="auto"/>
        <w:rPr>
          <w:rFonts w:hint="eastAsia"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6AD84"/>
    <w:multiLevelType w:val="singleLevel"/>
    <w:tmpl w:val="EBD6AD84"/>
    <w:lvl w:ilvl="0" w:tentative="0">
      <w:start w:val="2"/>
      <w:numFmt w:val="decimal"/>
      <w:lvlText w:val="%1."/>
      <w:lvlJc w:val="left"/>
      <w:pPr>
        <w:tabs>
          <w:tab w:val="left" w:pos="312"/>
        </w:tabs>
      </w:pPr>
    </w:lvl>
  </w:abstractNum>
  <w:abstractNum w:abstractNumId="1">
    <w:nsid w:val="38C468B3"/>
    <w:multiLevelType w:val="multilevel"/>
    <w:tmpl w:val="38C468B3"/>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C71C92"/>
    <w:multiLevelType w:val="multilevel"/>
    <w:tmpl w:val="54C71C9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C1B2BA"/>
    <w:multiLevelType w:val="singleLevel"/>
    <w:tmpl w:val="5FC1B2BA"/>
    <w:lvl w:ilvl="0" w:tentative="0">
      <w:start w:val="1"/>
      <w:numFmt w:val="decimal"/>
      <w:suff w:val="nothing"/>
      <w:lvlText w:val="%1、"/>
      <w:lvlJc w:val="left"/>
      <w:pPr>
        <w:ind w:left="480" w:leftChars="0" w:firstLine="0" w:firstLineChars="0"/>
      </w:pPr>
    </w:lvl>
  </w:abstractNum>
  <w:abstractNum w:abstractNumId="4">
    <w:nsid w:val="6753834B"/>
    <w:multiLevelType w:val="singleLevel"/>
    <w:tmpl w:val="6753834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mE2YTYwZjZhOGNkZjgxYTY0OTMxMWE4YzAxNjMifQ=="/>
  </w:docVars>
  <w:rsids>
    <w:rsidRoot w:val="00000000"/>
    <w:rsid w:val="170A7367"/>
    <w:rsid w:val="29212213"/>
    <w:rsid w:val="32CE3BC5"/>
    <w:rsid w:val="33457BE4"/>
    <w:rsid w:val="504501FF"/>
    <w:rsid w:val="530F48B5"/>
    <w:rsid w:val="53CE3A6B"/>
    <w:rsid w:val="55887EB8"/>
    <w:rsid w:val="593378CF"/>
    <w:rsid w:val="75E61B97"/>
    <w:rsid w:val="771B4650"/>
    <w:rsid w:val="7A5433B2"/>
    <w:rsid w:val="CAFB1C7D"/>
    <w:rsid w:val="DCBF9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semiHidden/>
    <w:qFormat/>
    <w:uiPriority w:val="0"/>
    <w:pPr>
      <w:spacing w:line="200" w:lineRule="exact"/>
      <w:ind w:firstLine="301"/>
    </w:pPr>
    <w:rPr>
      <w:rFonts w:ascii="宋体" w:hAnsi="Courier New"/>
      <w:spacing w:val="-4"/>
      <w:sz w:val="18"/>
      <w:szCs w:val="20"/>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First Indent 2"/>
    <w:basedOn w:val="3"/>
    <w:qFormat/>
    <w:uiPriority w:val="0"/>
    <w:pPr>
      <w:spacing w:line="240" w:lineRule="auto"/>
      <w:ind w:left="200" w:leftChars="200" w:firstLine="200" w:firstLineChars="200"/>
      <w:jc w:val="left"/>
    </w:pPr>
    <w:rPr>
      <w:rFonts w:cs="Calibri"/>
      <w:kern w:val="2"/>
      <w:sz w:val="24"/>
      <w:szCs w:val="24"/>
      <w:lang w:bidi="ar-SA"/>
    </w:rPr>
  </w:style>
  <w:style w:type="table" w:customStyle="1" w:styleId="8">
    <w:name w:val="TableGrid"/>
    <w:qFormat/>
    <w:uiPriority w:val="0"/>
    <w:tblPr>
      <w:tblCellMar>
        <w:top w:w="0" w:type="dxa"/>
        <w:left w:w="0" w:type="dxa"/>
        <w:bottom w:w="0" w:type="dxa"/>
        <w:right w:w="0" w:type="dxa"/>
      </w:tblCellMar>
    </w:tblPr>
  </w:style>
  <w:style w:type="paragraph" w:customStyle="1" w:styleId="9">
    <w:name w:val="Table Paragraph"/>
    <w:basedOn w:val="1"/>
    <w:unhideWhenUsed/>
    <w:qFormat/>
    <w:uiPriority w:val="1"/>
    <w:pPr>
      <w:spacing w:beforeLines="0" w:afterLines="0"/>
    </w:pPr>
    <w:rPr>
      <w:rFonts w:hint="eastAsia"/>
      <w:sz w:val="24"/>
      <w:szCs w:val="24"/>
    </w:rPr>
  </w:style>
  <w:style w:type="paragraph" w:customStyle="1" w:styleId="10">
    <w:name w:val="Char Char Char Char Char Char Char"/>
    <w:basedOn w:val="1"/>
    <w:qFormat/>
    <w:uiPriority w:val="0"/>
    <w:pPr>
      <w:tabs>
        <w:tab w:val="left" w:pos="425"/>
      </w:tabs>
      <w:ind w:left="425" w:hanging="425"/>
    </w:pPr>
    <w:rPr>
      <w:rFonts w:ascii="Times New Roman" w:hAnsi="Times New Roman" w:eastAsia="仿宋_GB2312"/>
      <w:kern w:val="24"/>
      <w:sz w:val="24"/>
      <w:szCs w:val="24"/>
    </w:rPr>
  </w:style>
  <w:style w:type="paragraph" w:styleId="11">
    <w:name w:val="List Paragraph"/>
    <w:basedOn w:val="1"/>
    <w:qFormat/>
    <w:uiPriority w:val="99"/>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3520</Words>
  <Characters>3701</Characters>
  <Lines>0</Lines>
  <Paragraphs>0</Paragraphs>
  <TotalTime>2</TotalTime>
  <ScaleCrop>false</ScaleCrop>
  <LinksUpToDate>false</LinksUpToDate>
  <CharactersWithSpaces>3727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2024-11-12T10:58:00Z</dcterms:created>
  <dc:creator>admin</dc:creator>
  <cp:lastModifiedBy>楠@楠</cp:lastModifiedBy>
  <dcterms:modified xsi:type="dcterms:W3CDTF">2024-12-05T07:10:36Z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75715AC7450C4BFBB106703DE9BC7296_12</vt:lpwstr>
  </property>
</Properties>
</file>