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6E74">
      <w:pPr>
        <w:spacing w:line="360" w:lineRule="auto"/>
        <w:rPr>
          <w:rFonts w:hint="eastAsia" w:ascii="宋体" w:hAnsi="宋体" w:eastAsia="宋体" w:cs="Times New Roman"/>
          <w:b/>
          <w:szCs w:val="22"/>
        </w:rPr>
      </w:pPr>
      <w:r>
        <w:rPr>
          <w:rFonts w:hint="eastAsia" w:ascii="宋体" w:hAnsi="宋体" w:eastAsia="宋体" w:cs="Times New Roman"/>
          <w:b/>
          <w:szCs w:val="22"/>
        </w:rPr>
        <w:t>附件一、采购参数需求清单</w:t>
      </w:r>
    </w:p>
    <w:p w14:paraId="57D070F1">
      <w:pPr>
        <w:pStyle w:val="3"/>
        <w:outlineLvl w:val="0"/>
        <w:rPr>
          <w:rFonts w:hint="eastAsia" w:hAnsi="宋体"/>
          <w:b/>
          <w:bCs/>
          <w:sz w:val="44"/>
        </w:rPr>
      </w:pPr>
      <w:r>
        <w:rPr>
          <w:rFonts w:hAnsi="宋体"/>
          <w:b/>
          <w:bCs/>
          <w:sz w:val="44"/>
        </w:rPr>
        <w:t>招标项目采购需求</w:t>
      </w:r>
    </w:p>
    <w:p w14:paraId="7C02518E">
      <w:pPr>
        <w:spacing w:line="3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说明：</w:t>
      </w:r>
    </w:p>
    <w:p w14:paraId="6358B5C9">
      <w:pPr>
        <w:ind w:firstLine="420" w:firstLineChars="200"/>
        <w:jc w:val="left"/>
        <w:rPr>
          <w:rFonts w:eastAsia="宋体"/>
        </w:rPr>
      </w:pPr>
      <w:r>
        <w:rPr>
          <w:rFonts w:hint="eastAsia" w:ascii="Arial" w:hAnsi="Arial" w:cs="Arial"/>
        </w:rPr>
        <w:t>议价</w:t>
      </w:r>
      <w:r>
        <w:rPr>
          <w:rFonts w:ascii="Arial" w:hAnsi="Arial" w:cs="Arial"/>
        </w:rPr>
        <w:t>文件中标注“</w:t>
      </w:r>
      <w:r>
        <w:rPr>
          <w:rFonts w:hint="eastAsia" w:ascii="宋体" w:hAnsi="宋体"/>
          <w:color w:val="000000"/>
          <w:szCs w:val="21"/>
        </w:rPr>
        <w:t>▲</w:t>
      </w:r>
      <w:r>
        <w:rPr>
          <w:rFonts w:ascii="Arial" w:hAnsi="Arial" w:cs="Arial"/>
        </w:rPr>
        <w:t>”号的条款为实质性条款或指标、要求，必须满足（无偏离）或优于（正偏离），否则其投标作否决</w:t>
      </w:r>
      <w:r>
        <w:rPr>
          <w:rFonts w:hint="eastAsia" w:ascii="Arial" w:hAnsi="Arial" w:cs="Arial"/>
        </w:rPr>
        <w:t>谈判</w:t>
      </w:r>
      <w:r>
        <w:rPr>
          <w:rFonts w:ascii="Arial" w:hAnsi="Arial" w:cs="Arial"/>
        </w:rPr>
        <w:t>处理。</w:t>
      </w:r>
      <w:r>
        <w:rPr>
          <w:rFonts w:hint="eastAsia" w:ascii="宋体" w:hAnsi="宋体"/>
        </w:rPr>
        <w:t>非实质性条款或指标负偏离达3项以上（含3项）的投标无效</w:t>
      </w:r>
      <w:r>
        <w:rPr>
          <w:rFonts w:hint="eastAsia" w:ascii="宋体" w:hAnsi="宋体"/>
          <w:lang w:eastAsia="zh-CN"/>
        </w:rPr>
        <w:t>。</w:t>
      </w:r>
      <w:bookmarkStart w:id="0" w:name="_GoBack"/>
      <w:bookmarkEnd w:id="0"/>
    </w:p>
    <w:tbl>
      <w:tblPr>
        <w:tblStyle w:val="4"/>
        <w:tblW w:w="55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36"/>
        <w:gridCol w:w="8005"/>
      </w:tblGrid>
      <w:tr w14:paraId="2928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6F2A">
            <w:pPr>
              <w:spacing w:line="36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</w:t>
            </w:r>
            <w:r>
              <w:rPr>
                <w:rFonts w:ascii="宋体" w:hAnsi="宋体"/>
                <w:b/>
                <w:szCs w:val="21"/>
              </w:rPr>
              <w:t>项目预算：</w:t>
            </w:r>
            <w:r>
              <w:rPr>
                <w:rFonts w:hint="eastAsia" w:ascii="宋体" w:hAnsi="宋体"/>
                <w:b/>
                <w:szCs w:val="21"/>
              </w:rPr>
              <w:t xml:space="preserve">    46000元</w:t>
            </w:r>
          </w:p>
        </w:tc>
      </w:tr>
      <w:tr w14:paraId="59FF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4C87">
            <w:pPr>
              <w:spacing w:line="36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、项目要求及技术需求</w:t>
            </w:r>
          </w:p>
        </w:tc>
      </w:tr>
      <w:tr w14:paraId="6998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7C0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服务项目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AC99"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4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727B"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服务需求</w:t>
            </w:r>
            <w:r>
              <w:rPr>
                <w:rFonts w:hint="eastAsia" w:ascii="宋体" w:hAnsi="宋体"/>
                <w:szCs w:val="21"/>
              </w:rPr>
              <w:t>及要求</w:t>
            </w:r>
          </w:p>
        </w:tc>
      </w:tr>
      <w:tr w14:paraId="6C16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C5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第三方机构提供科研服务项目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F3A8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1项</w:t>
            </w:r>
          </w:p>
        </w:tc>
        <w:tc>
          <w:tcPr>
            <w:tcW w:w="4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BA0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第三方检测要求：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▲一、按照下列实验方法完成实验：</w:t>
            </w:r>
          </w:p>
          <w:p w14:paraId="2C9A904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构建质粒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 w14:paraId="0F1AB723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根据基因序列针对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NPTN截短体合成、合成NPTN质粒、NDUFA11-PEGFP质粒合成、NDUFS1-3*Flag质粒合成、NDUFS1突变体构建-1个:1000bp以内、NDUFS1突变体构建-3个:1000bp以上-2500bp以下，针对以上合成的质粒进行提取扩增。</w:t>
            </w:r>
          </w:p>
          <w:p w14:paraId="4638D241">
            <w:pPr>
              <w:spacing w:line="3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2.细胞培养</w:t>
            </w:r>
          </w:p>
          <w:p w14:paraId="1288FD6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进行293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细胞进行培养：293T 细胞用含 10%胎牛血清的 DMEM 培养基，在 37°C 饱和湿度、含 5% CO2 的培养箱中培养。T75 培养瓶铺细胞数为 4*106。预计培养10天左右，培养足够的细胞量进行后续的质粒转染。细胞传代达到实验所需数量后计数并检测细胞活率，细胞活率达到 90%可选择铺细胞。</w:t>
            </w:r>
          </w:p>
          <w:p w14:paraId="124ADD47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质粒共转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43A07C9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3.1转染前一天细胞接种于 T75，使其在转染时密度为 70-80%。 </w:t>
            </w:r>
          </w:p>
          <w:p w14:paraId="72DD0E3D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.2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在进行转染前，更换新鲜的培养液。 </w:t>
            </w:r>
          </w:p>
          <w:p w14:paraId="5EECB022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转染试剂/DNA 混合物制备 </w:t>
            </w:r>
          </w:p>
          <w:p w14:paraId="3A716D9F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3.3.1 DNA-Opti-MEM：在无菌离心管中加入 1250μL Opti-MEM 或其他无血清、无 </w:t>
            </w:r>
          </w:p>
          <w:p w14:paraId="13C73A9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抗生素培养基，并添加 25μg DNA，用移液器轻轻混匀。（具体如下表） </w:t>
            </w:r>
          </w:p>
          <w:p w14:paraId="7F3BC8C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3.3.2 转染试剂-Opti-MEM：在无菌离心管中加入 1250 μL Opti-MEM 或其他无血 </w:t>
            </w:r>
          </w:p>
          <w:p w14:paraId="579684FD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清、无抗生素培养基，并添加 75 μL 转染试剂，用移液器轻轻混匀。（具体如下表） </w:t>
            </w:r>
          </w:p>
          <w:p w14:paraId="65C85630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3.3.3 将转染试剂 Opti-MEM 滴加至 DNA-Opti-MEM 中，用移液器轻轻混匀，室温 </w:t>
            </w:r>
          </w:p>
          <w:p w14:paraId="0E572A32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静置 10-15 min 后可用于转染。</w:t>
            </w:r>
          </w:p>
          <w:p w14:paraId="43B1C290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 转染：将转染试剂/DNA 混合物滴加至培养基中，轻轻晃动培养器皿使转染试剂</w:t>
            </w:r>
          </w:p>
          <w:p w14:paraId="4F867EE5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/DNA 均匀分散。</w:t>
            </w:r>
          </w:p>
          <w:p w14:paraId="327BAF90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 继续培养 48h，收取细胞，用适当的方法进行检测。</w:t>
            </w:r>
          </w:p>
          <w:p w14:paraId="7B9C9A3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5C0853EA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 细胞收取 细胞长满后，将细胞消化并转移至 15ml 离心管中，1200rpm 离心 5min；弃上清，加入 1ml PBS 重悬细胞，并转移至 1.5ml EP 管中，6000rpm、4℃离心 1min，弃上清并将细胞弹散至于冰上；加入配置好的 RIPA 裂解液，800ul/管，4℃展示柜内使用旋转混合仪</w:t>
            </w:r>
          </w:p>
          <w:p w14:paraId="7F566881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Co-IP 实验 </w:t>
            </w:r>
          </w:p>
          <w:p w14:paraId="33A9BD4B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.1 同型对照制备 </w:t>
            </w:r>
          </w:p>
          <w:p w14:paraId="413C74B7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根据 IP 抗体的亚型制备 Isotype 同型对照实验，1.5ml 进口 EP 管中加入 700ul 裂解液（不需加其它抑制剂和还原剂）80ul 琼脂糖珠 ProteinA/G Beads，2ug IgG Isotype， 4 ℃旋转混合仪旋转孵育 30min。4 ℃， 7200r/min， 离心 2min。 加入 RIPA 高盐洗液（含 DTT 、Na3VO4）洗 3 次，1ml/次/管，5min/次。RIPA 低盐洗液（含 DTT 、Na3VO4）洗 3 次，1ml/次/管，前后洗珠子 6 次，目的是清洗珠子内的杂质以及非共价结合键，从而降低背景干扰。珠子洗至最后一遍的上清用真空吸泵尽量吸干净，但避免吸到珠子。 </w:t>
            </w:r>
          </w:p>
          <w:p w14:paraId="3A35175D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.2 Input 制备 </w:t>
            </w:r>
          </w:p>
          <w:p w14:paraId="0C3FB640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细胞裂解结束后，4 ℃，12000r/min，离心 15min，将未裂解的杂质沉淀下来，使蛋 </w:t>
            </w:r>
          </w:p>
          <w:p w14:paraId="17BDD43E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白初步提纯。离心结束取 80 ul 上清定量制备 Input 样品，此步骤目的在于检测并验证组织细胞内蛋白量，判断目的蛋白及互作蛋白的表达，只有证明胞内有足量目的蛋白才能继续后面的沉淀实验，此步骤相当于 WB 收样品，管盖上标记 Input。 </w:t>
            </w:r>
          </w:p>
          <w:p w14:paraId="6BC9F075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.3 孵育 IgG-Beads </w:t>
            </w:r>
          </w:p>
          <w:p w14:paraId="0F529713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将裂解的大部分上清转移到洗好的珠子内，4 ℃旋转混合仪 旋转孵育 30min。孵育时 </w:t>
            </w:r>
          </w:p>
          <w:p w14:paraId="0D5D0DDC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间结束后，将 EP 管于 4℃离心机，7200r/min，离心 2min。用移液器将上清转移至预先准备好的新 1.5ml 进口 EP 管中并放于冰盒内，注意不要吸到管底的沉淀。洗 6 遍，最后离心，真空吸泵尽量吸干净上清，加入 2*Loading Buffer，Loading Buffer 预先加热处理，100℃煮 10min 后，4 ℃离心机瞬离后写标签并与 Input 一起置于 </w:t>
            </w:r>
          </w:p>
          <w:p w14:paraId="7CF5705F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-20℃冰箱保存。 </w:t>
            </w:r>
          </w:p>
          <w:p w14:paraId="11013822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.4 IP 样品制备 </w:t>
            </w:r>
          </w:p>
          <w:p w14:paraId="50D301F9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7.6.3 中的上清中加入 2ul IP 抗体，Anti-GFP、Anti-Gabra1，4 ℃冰箱旋转混合仪旋转孵育过夜（至少 8h） 后加入 80ul 琼脂糖珠 ProteinA/G Beads，4 ℃冰箱旋转混合仪继续旋转孵育 3h 后，将 EP 管于 4 ℃离心机，7200 r/min，离心 2min。真空吸泵吸取上清至 EP 管 100ul 刻度线，加入 RIPA 高盐洗液（含 DTT、Na3VO4）洗 3 次，1 ml/次/管，RIPA 低盐洗液（含 DTT、Na3VO4）洗 3 次，1 ml/次/管，前后洗珠子 6 次，目的是将与靶蛋白抗体非特异结合的化学键充分打开，只保留抗原抗体特异性结合的键，从而最大限度降低本底和非特异性相互作用蛋白的干扰。最后一遍 4 ℃离心机，7200 r/min，离心 2min，尽量吸干净上清，但不要洗到珠子即沉淀，加入 80 ul 预热的 2*Loading Buffer，100℃煮10min 后，4 ℃离心机瞬离后与 Input、IgG Isotype 一起置于-20 ℃冰箱保存。 </w:t>
            </w:r>
          </w:p>
          <w:p w14:paraId="37941188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蛋白定量 </w:t>
            </w:r>
          </w:p>
          <w:p w14:paraId="63685FC6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配制工作液：根据标准品和样品数量，按 50 体积 A 试剂和 1 体积 B 试剂（50:1）配制成 BCA 工作液，充分混匀。稀释标准品：取 10ul 赛默飞标准品（母液浓度 2mg/ml）用10ul 蛋白裂解液梯度稀释 5 次。样品孔：8ul 蛋白裂解液+2ul 蛋白。各孔加入 200ul 工作液，37℃放置 25-30min。然后用酶标仪 A562nm 测定，根据标准曲线计算出蛋白浓度。 </w:t>
            </w:r>
          </w:p>
          <w:p w14:paraId="6AE95E50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SDS-PAGE 跑胶 </w:t>
            </w:r>
          </w:p>
          <w:p w14:paraId="2DF10E9F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 配胶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：根据蛋白大小分别配制10%蛋白胶。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7FF914F8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.2 电泳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：确定实验蛋白浓度，上样质量均为20ug/well。将计算好的蛋白与加完β-巯基乙醇的2x Loading buffer混匀，沸水煮10min，瞬时离心冷却至室温进行实验。加样后，80V跑浓缩胶，进入分离胶marker出现后，转120V跑分离胶。 </w:t>
            </w:r>
          </w:p>
          <w:p w14:paraId="082F0183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.3 转印及封闭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：转印前的PVDF膜事先用甲醇浸泡，在电泳槽中加入伯乐自带的冰袋，将电泳槽包裹在冰水混合物的泡沫箱中，根据不同蛋白大小确定转印时间，恒压60V转印3h。转印结束后，将转印成功的PVDF膜放在1X TBST中洗去剩余的甲醇，清洗三次，每次5-10分钟。然后转至用1x TBST配制的5%的牛奶摇床孵育1h。 </w:t>
            </w:r>
          </w:p>
          <w:p w14:paraId="54EC3AD8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.4 孵育一抗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：用3%BSA配制一抗。将剪好的膜从牛奶中取出放入1x TBST中清洗，将配制好的一抗加至杂交袋中，封口并标明一抗名称。摇床上4℃混匀过夜。 </w:t>
            </w:r>
          </w:p>
          <w:p w14:paraId="139EC042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.5 孵育二抗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：次日从杂交袋中取出孵育完一抗的PVDF膜，放至1x TBST中，摇床清洗10分钟，三次。将清洗完的PVDF膜，放至5%牛奶配制的二抗中，摇床孵育1h，孵育结束后，将PVDF膜放至1XTBST中，摇床清洗10分钟，三次。 </w:t>
            </w:r>
          </w:p>
          <w:p w14:paraId="5185AA26"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.6 显影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：配制好显影液，显影。</w:t>
            </w:r>
          </w:p>
          <w:p w14:paraId="1CC1B9F9">
            <w:pPr>
              <w:tabs>
                <w:tab w:val="left" w:pos="312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二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/>
                <w:sz w:val="24"/>
              </w:rPr>
              <w:t>结果准确性要求</w:t>
            </w:r>
          </w:p>
          <w:p w14:paraId="4E78D963"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按照科研实验的要求进行实验，所有数据均提供所有原始数据，相关实验视频，确保数据真实、可靠，杜绝学术不端。出具正式的实验报告。</w:t>
            </w:r>
          </w:p>
          <w:p w14:paraId="53556007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000000"/>
                <w:szCs w:val="21"/>
              </w:rPr>
              <w:t>▲</w:t>
            </w:r>
            <w:r>
              <w:rPr>
                <w:rFonts w:hint="eastAsia"/>
                <w:sz w:val="24"/>
              </w:rPr>
              <w:t>三．取得医学检验实验室许可证、营业执照，具有丰富的科研经验。</w:t>
            </w:r>
          </w:p>
          <w:p w14:paraId="7E5FF536">
            <w:pPr>
              <w:autoSpaceDE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▲</w:t>
            </w:r>
            <w:r>
              <w:rPr>
                <w:rFonts w:hint="eastAsia"/>
                <w:sz w:val="24"/>
              </w:rPr>
              <w:t>四．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技术服务于收到预付款后4个月内完成。</w:t>
            </w:r>
          </w:p>
        </w:tc>
      </w:tr>
    </w:tbl>
    <w:p w14:paraId="7FCBDD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Tc1MTc1MzkwNGNlNDkwYWMwNGI3YjJkMjFkY2QifQ=="/>
  </w:docVars>
  <w:rsids>
    <w:rsidRoot w:val="50B556A0"/>
    <w:rsid w:val="1D1722B1"/>
    <w:rsid w:val="224053CA"/>
    <w:rsid w:val="32607DFF"/>
    <w:rsid w:val="4867179A"/>
    <w:rsid w:val="50B556A0"/>
    <w:rsid w:val="54587BC5"/>
    <w:rsid w:val="5D1D34D1"/>
    <w:rsid w:val="60760191"/>
    <w:rsid w:val="626555BC"/>
    <w:rsid w:val="642E6B65"/>
    <w:rsid w:val="64906482"/>
    <w:rsid w:val="7A4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iPriority w:val="0"/>
    <w:pPr>
      <w:spacing w:after="120"/>
    </w:pPr>
    <w:rPr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customStyle="1" w:styleId="6">
    <w:name w:val="表格文字"/>
    <w:next w:val="2"/>
    <w:qFormat/>
    <w:uiPriority w:val="0"/>
    <w:pPr>
      <w:widowControl w:val="0"/>
      <w:spacing w:before="25" w:after="25"/>
    </w:pPr>
    <w:rPr>
      <w:rFonts w:ascii="Times New Roman" w:hAnsi="Times New Roman" w:eastAsia="Calibri" w:cs="Calibri"/>
      <w:color w:val="000000"/>
      <w:spacing w:val="10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2240</Words>
  <Characters>2969</Characters>
  <Lines>0</Lines>
  <Paragraphs>0</Paragraphs>
  <TotalTime>0</TotalTime>
  <ScaleCrop>false</ScaleCrop>
  <LinksUpToDate>false</LinksUpToDate>
  <CharactersWithSpaces>3229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2024-10-10T07:27:00Z</dcterms:created>
  <dc:creator>童 童童</dc:creator>
  <cp:lastModifiedBy>White</cp:lastModifiedBy>
  <dcterms:modified xsi:type="dcterms:W3CDTF">2024-11-26T00:12:56Z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9E38C71D88FD4CBE93B4B42D6442470F_13</vt:lpwstr>
  </property>
</Properties>
</file>