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7F5D2">
      <w:pPr>
        <w:pStyle w:val="4"/>
        <w:widowControl/>
        <w:spacing w:beforeAutospacing="0" w:after="135" w:afterAutospacing="0" w:line="27" w:lineRule="atLeast"/>
        <w:rPr>
          <w:rFonts w:ascii="微软雅黑" w:hAnsi="微软雅黑" w:eastAsia="微软雅黑" w:cs="微软雅黑"/>
        </w:rPr>
      </w:pPr>
      <w:r>
        <w:rPr>
          <w:rFonts w:ascii="微软雅黑" w:hAnsi="微软雅黑" w:eastAsia="微软雅黑" w:cs="微软雅黑"/>
        </w:rPr>
        <w:t>附件</w:t>
      </w:r>
      <w:r>
        <w:rPr>
          <w:rFonts w:hint="eastAsia" w:ascii="微软雅黑" w:hAnsi="微软雅黑" w:eastAsia="微软雅黑" w:cs="微软雅黑"/>
        </w:rPr>
        <w:t>：</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011"/>
        <w:gridCol w:w="6853"/>
      </w:tblGrid>
      <w:tr w14:paraId="274B8273">
        <w:trPr>
          <w:trHeight w:val="56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3DBE875">
            <w:pPr>
              <w:spacing w:line="360" w:lineRule="atLeast"/>
              <w:rPr>
                <w:rFonts w:ascii="宋体" w:hAnsi="宋体" w:eastAsia="宋体" w:cs="Times New Roman"/>
                <w:b/>
                <w:color w:val="000000"/>
                <w:szCs w:val="21"/>
              </w:rPr>
            </w:pPr>
            <w:r>
              <w:rPr>
                <w:rFonts w:hint="eastAsia" w:ascii="宋体" w:hAnsi="宋体" w:eastAsia="宋体" w:cs="Times New Roman"/>
                <w:b/>
                <w:color w:val="000000"/>
                <w:szCs w:val="21"/>
              </w:rPr>
              <w:t>一、需求清单</w:t>
            </w:r>
          </w:p>
        </w:tc>
      </w:tr>
      <w:tr w14:paraId="1320D8BA">
        <w:trPr>
          <w:trHeight w:val="56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493EF684">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项目名称</w:t>
            </w:r>
          </w:p>
        </w:tc>
        <w:tc>
          <w:tcPr>
            <w:tcW w:w="593" w:type="pct"/>
            <w:tcBorders>
              <w:top w:val="single" w:color="auto" w:sz="4" w:space="0"/>
              <w:left w:val="single" w:color="auto" w:sz="4" w:space="0"/>
              <w:bottom w:val="single" w:color="auto" w:sz="4" w:space="0"/>
              <w:right w:val="single" w:color="auto" w:sz="4" w:space="0"/>
            </w:tcBorders>
            <w:vAlign w:val="center"/>
          </w:tcPr>
          <w:p w14:paraId="2B728386">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充电桩数量</w:t>
            </w:r>
          </w:p>
        </w:tc>
        <w:tc>
          <w:tcPr>
            <w:tcW w:w="4021" w:type="pct"/>
            <w:tcBorders>
              <w:top w:val="single" w:color="auto" w:sz="4" w:space="0"/>
              <w:left w:val="single" w:color="auto" w:sz="4" w:space="0"/>
              <w:bottom w:val="single" w:color="auto" w:sz="4" w:space="0"/>
              <w:right w:val="single" w:color="auto" w:sz="4" w:space="0"/>
            </w:tcBorders>
            <w:vAlign w:val="center"/>
          </w:tcPr>
          <w:p w14:paraId="025ECC4C">
            <w:pPr>
              <w:spacing w:line="360" w:lineRule="atLeast"/>
              <w:jc w:val="center"/>
              <w:rPr>
                <w:rFonts w:ascii="宋体" w:hAnsi="宋体" w:eastAsia="宋体" w:cs="Times New Roman"/>
                <w:bCs/>
                <w:color w:val="000000"/>
                <w:szCs w:val="21"/>
              </w:rPr>
            </w:pPr>
            <w:r>
              <w:rPr>
                <w:rFonts w:hint="eastAsia" w:ascii="宋体" w:hAnsi="宋体" w:eastAsia="宋体" w:cs="Times New Roman"/>
                <w:color w:val="000000"/>
                <w:szCs w:val="21"/>
              </w:rPr>
              <w:t>要求</w:t>
            </w:r>
          </w:p>
        </w:tc>
      </w:tr>
      <w:tr w14:paraId="0D9477B6">
        <w:trPr>
          <w:trHeight w:val="68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2AC66A70">
            <w:pPr>
              <w:spacing w:line="360" w:lineRule="atLeast"/>
              <w:jc w:val="center"/>
            </w:pPr>
            <w:r>
              <w:rPr>
                <w:rFonts w:hint="eastAsia"/>
              </w:rPr>
              <w:t>汽车充电桩建设项目</w:t>
            </w:r>
          </w:p>
        </w:tc>
        <w:tc>
          <w:tcPr>
            <w:tcW w:w="593" w:type="pct"/>
            <w:tcBorders>
              <w:top w:val="single" w:color="auto" w:sz="4" w:space="0"/>
              <w:left w:val="single" w:color="auto" w:sz="4" w:space="0"/>
              <w:bottom w:val="single" w:color="auto" w:sz="4" w:space="0"/>
              <w:right w:val="single" w:color="auto" w:sz="4" w:space="0"/>
            </w:tcBorders>
            <w:vAlign w:val="center"/>
          </w:tcPr>
          <w:p w14:paraId="30988147">
            <w:pPr>
              <w:spacing w:line="360" w:lineRule="atLeast"/>
              <w:jc w:val="center"/>
            </w:pPr>
            <w:r>
              <w:t>27个</w:t>
            </w:r>
          </w:p>
        </w:tc>
        <w:tc>
          <w:tcPr>
            <w:tcW w:w="4021" w:type="pct"/>
            <w:tcBorders>
              <w:top w:val="single" w:color="auto" w:sz="4" w:space="0"/>
              <w:left w:val="single" w:color="auto" w:sz="4" w:space="0"/>
              <w:bottom w:val="single" w:color="auto" w:sz="4" w:space="0"/>
              <w:right w:val="single" w:color="auto" w:sz="4" w:space="0"/>
            </w:tcBorders>
            <w:vAlign w:val="center"/>
          </w:tcPr>
          <w:p w14:paraId="55256695">
            <w:pPr>
              <w:pStyle w:val="7"/>
              <w:widowControl/>
              <w:numPr>
                <w:ilvl w:val="0"/>
                <w:numId w:val="1"/>
              </w:numPr>
              <w:tabs>
                <w:tab w:val="left" w:pos="425"/>
              </w:tabs>
              <w:adjustRightInd w:val="0"/>
              <w:snapToGrid w:val="0"/>
              <w:spacing w:line="400" w:lineRule="exact"/>
              <w:ind w:right="-2" w:firstLineChars="0"/>
              <w:jc w:val="left"/>
            </w:pPr>
            <w:r>
              <w:t>新建汽车充电桩27个。地下停车场充电桩采购及安装，项目内容包括但不限于充电桩、电缆、电缆排管、桥架、电缆井、配电箱（含基础）等设备材料采购、运输、混凝土破碎、土石方开挖回填、安装、调试、专业安装工具直至交付使用通过验收、售后服务、提供设备安装后质保期内的财产险和公众责任险等。</w:t>
            </w:r>
          </w:p>
          <w:p w14:paraId="4589C3A2">
            <w:pPr>
              <w:pStyle w:val="7"/>
              <w:widowControl/>
              <w:numPr>
                <w:ilvl w:val="0"/>
                <w:numId w:val="1"/>
              </w:numPr>
              <w:tabs>
                <w:tab w:val="left" w:pos="425"/>
              </w:tabs>
              <w:adjustRightInd w:val="0"/>
              <w:snapToGrid w:val="0"/>
              <w:spacing w:line="400" w:lineRule="exact"/>
              <w:ind w:right="-2" w:firstLineChars="0"/>
              <w:jc w:val="left"/>
            </w:pPr>
            <w:r>
              <w:rPr>
                <w:rFonts w:hint="eastAsia"/>
              </w:rPr>
              <w:t>合作期限内，通过院方的上级电表计量电量，电费单价按院方最近12个月的平均电价（约0.7503元/度）的1.2倍 元/度计算，每年调整一次电费单价，双方每月抄表核定一次电费，按季度向院方支付电费费用，每次支付电费费用应在该季度次月25日前支付到院方指定银行账号。</w:t>
            </w:r>
          </w:p>
          <w:p w14:paraId="2A65C460">
            <w:pPr>
              <w:pStyle w:val="7"/>
              <w:widowControl/>
              <w:numPr>
                <w:ilvl w:val="0"/>
                <w:numId w:val="1"/>
              </w:numPr>
              <w:tabs>
                <w:tab w:val="left" w:pos="425"/>
              </w:tabs>
              <w:adjustRightInd w:val="0"/>
              <w:snapToGrid w:val="0"/>
              <w:spacing w:line="400" w:lineRule="exact"/>
              <w:ind w:right="-2" w:firstLineChars="0"/>
              <w:jc w:val="left"/>
            </w:pPr>
            <w:r>
              <w:rPr>
                <w:rFonts w:hint="eastAsia"/>
              </w:rPr>
              <w:t>本合同项下的合作期限内，中标供应商收取充电服务费不高于0.5元/度，即中标供应商向充电用户收费不得高于院方电费单价的1.2倍元/度+0.5元/度，充电收入由中标供应商平台收取。</w:t>
            </w:r>
          </w:p>
          <w:p w14:paraId="3E848926">
            <w:pPr>
              <w:pStyle w:val="7"/>
              <w:widowControl/>
              <w:numPr>
                <w:ilvl w:val="0"/>
                <w:numId w:val="1"/>
              </w:numPr>
              <w:tabs>
                <w:tab w:val="left" w:pos="425"/>
              </w:tabs>
              <w:adjustRightInd w:val="0"/>
              <w:snapToGrid w:val="0"/>
              <w:spacing w:line="400" w:lineRule="exact"/>
              <w:ind w:right="-2" w:firstLineChars="0"/>
              <w:jc w:val="left"/>
            </w:pPr>
            <w:r>
              <w:rPr>
                <w:rFonts w:hint="eastAsia"/>
              </w:rPr>
              <w:t>院方提供场地供中标供应商选择安装汽车充电桩，中标供应商提供的设计建设方案须经过院方同意并实施，具体方案以图纸形式经过院方工程负责人签字后实施。院方提供的场地以车位形式交由中标供应商经营管理，并提供相应的电容量，用于充电设备的正常使用。院方应配合中标供应商进场施工，包括但不限于按现状提供场地，临时用水用电；中标供应商保持施工现场的整洁，施工完毕后清理现场等工作。施工期间发生的安全事故，应由责任主体按法律规定及实际责任比例各自承担赔偿义务。合作期限内，院方不得无故移动中标供应商安装在项目内的充电桩及其配套设施；若由于院方业务发展需要使用场地等原因需要移动充电桩及其配套设施，需提前两个月电话，微信，短信方式通知中标供应商，相关费用由中标供应商承担。在合作期限内，院方可以参与充电场站的宣传推广工作，包括但不限于设立指引、派发传单、媒体宣传、安排工作人员现场讲解等形式，致力于共同提升充电电量。</w:t>
            </w:r>
            <w:r>
              <w:t> </w:t>
            </w:r>
            <w:r>
              <w:rPr>
                <w:rFonts w:hint="eastAsia"/>
              </w:rPr>
              <w:t>院方协助中标供应商进行场地内建成的充电桩及配套设施的运行、维护工作，但不承担经营运行中产生的一切责任。</w:t>
            </w:r>
            <w:bookmarkStart w:id="0" w:name="_GoBack"/>
            <w:bookmarkEnd w:id="0"/>
          </w:p>
        </w:tc>
      </w:tr>
    </w:tbl>
    <w:p w14:paraId="75A2F705"/>
    <w:p w14:paraId="4B14C1D4"/>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26061AD2">
        <w:pPr>
          <w:pStyle w:val="2"/>
        </w:pPr>
        <w:r>
          <w:fldChar w:fldCharType="begin"/>
        </w:r>
        <w:r>
          <w:instrText xml:space="preserve">PAGE   \* MERGEFORMAT</w:instrText>
        </w:r>
        <w:r>
          <w:fldChar w:fldCharType="separate"/>
        </w:r>
        <w:r>
          <w:rPr>
            <w:lang w:val="zh-CN"/>
          </w:rPr>
          <w:t>3</w:t>
        </w:r>
        <w:r>
          <w:fldChar w:fldCharType="end"/>
        </w:r>
      </w:p>
    </w:sdtContent>
  </w:sdt>
  <w:p w14:paraId="73BC034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E65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5B4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679A">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E21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935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179C7"/>
    <w:multiLevelType w:val="multilevel"/>
    <w:tmpl w:val="580179C7"/>
    <w:lvl w:ilvl="0" w:tentative="0">
      <w:start w:val="1"/>
      <w:numFmt w:val="japaneseCounting"/>
      <w:lvlText w:val="%1、"/>
      <w:lvlJc w:val="left"/>
      <w:pPr>
        <w:ind w:left="420" w:hanging="420"/>
      </w:pPr>
      <w:rPr>
        <w:rFonts w:hint="default" w:ascii="宋体" w:hAnsi="宋体" w:eastAsia="宋体"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TY3NDNlMGFkMzdmNmRlZjZlZTA0MzY2NjVkOTMifQ=="/>
  </w:docVars>
  <w:rsids>
    <w:rsidRoot w:val="A783B3CA"/>
    <w:rsid w:val="A783B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2024-10-18T22:22:00Z</dcterms:created>
  <dc:creator>香芋冰淇淋</dc:creator>
  <cp:lastModifiedBy>香芋冰淇淋</cp:lastModifiedBy>
  <dcterms:modified xsi:type="dcterms:W3CDTF">2024-10-18T22:22:46Z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8B77536C7C0AD677266F12678BE67604_41</vt:lpwstr>
  </property>
</Properties>
</file>